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bookmarkEnd w:id="0"/>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20</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许昌市殡葬管理所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一年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许昌市殡葬管理所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许昌市殡葬管理所</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outlineLvl w:val="9"/>
        <w:rPr>
          <w:rFonts w:ascii="宋体" w:hAnsi="宋体" w:eastAsia="仿宋_GB2312"/>
          <w:sz w:val="32"/>
          <w:szCs w:val="32"/>
        </w:rPr>
      </w:pPr>
      <w:r>
        <w:rPr>
          <w:rFonts w:hint="eastAsia" w:ascii="宋体" w:hAnsi="宋体" w:eastAsia="仿宋_GB2312"/>
          <w:sz w:val="32"/>
          <w:szCs w:val="32"/>
        </w:rPr>
        <w:t>依据国务院《殡葬管理条例》和省人大通过的《河南省殡葬管理办法》，在许昌市民政局的领导下，负责许昌市行政区划范围内殡葬改革方针、政策的贯彻落实及殡葬管理具体工作。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许昌市殡葬管理所内设机构1个，分别为：办公室。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从决算单位构成看，许昌市殡葬管理所部门决算包括：本级决算。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纳入本部门2020年度部门决算编制范围的单位共1个，具体是：</w:t>
      </w:r>
    </w:p>
    <w:p>
      <w:pPr>
        <w:widowControl/>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1.许昌市殡葬管理所</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500"/>
        <w:gridCol w:w="427"/>
        <w:gridCol w:w="3500"/>
        <w:gridCol w:w="3162"/>
        <w:gridCol w:w="427"/>
        <w:gridCol w:w="3187"/>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90" w:hRule="atLeast"/>
        </w:trPr>
        <w:tc>
          <w:tcPr>
            <w:tcW w:w="14203" w:type="dxa"/>
            <w:gridSpan w:val="6"/>
            <w:noWrap w:val="0"/>
            <w:vAlign w:val="bottom"/>
          </w:tcPr>
          <w:p>
            <w:pPr>
              <w:rPr>
                <w:rFonts w:hint="eastAsia" w:ascii="仿宋_GB2312" w:hAnsi="仿宋_GB2312" w:eastAsia="仿宋_GB2312" w:cs="仿宋_GB2312"/>
                <w:color w:val="auto"/>
                <w:sz w:val="32"/>
                <w:szCs w:val="32"/>
                <w:highlight w:val="none"/>
              </w:rPr>
            </w:pPr>
          </w:p>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285" w:hRule="atLeast"/>
        </w:trPr>
        <w:tc>
          <w:tcPr>
            <w:tcW w:w="350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2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50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16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614"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285" w:hRule="atLeast"/>
        </w:trPr>
        <w:tc>
          <w:tcPr>
            <w:tcW w:w="7427" w:type="dxa"/>
            <w:gridSpan w:val="3"/>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部门：许昌市殡葬管理所</w:t>
            </w:r>
          </w:p>
        </w:tc>
        <w:tc>
          <w:tcPr>
            <w:tcW w:w="316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614"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7427"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收入</w:t>
            </w:r>
          </w:p>
        </w:tc>
        <w:tc>
          <w:tcPr>
            <w:tcW w:w="6776"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350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金额</w:t>
            </w:r>
          </w:p>
        </w:tc>
        <w:tc>
          <w:tcPr>
            <w:tcW w:w="316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318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350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316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318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一、一般公共预算财政拨款收入</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86.30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一、一般公共服务支出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32</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二、政府性基金预算财政拨款收入</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二、外交支出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33</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三、国有资本经营预算财政拨款收入</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三、国防支出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四、上级补助收入</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四、公共安全支出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35</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五、事业收入</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五、教育支出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六、经营收入</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六、科学技术支出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37</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七、附属单位上缴收入</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七、文化旅游体育与传媒支出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38</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八、其他收入</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八、社会保障和就业支出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九、卫生健康支出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40</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十、节能环保支出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41</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十一、城乡社区支出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42</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十二、农林水支出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43</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13</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十三、交通运输支出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44</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十四、资源勘探工业信息等支出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45</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15</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十五、商业服务业等支出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46</w:t>
            </w:r>
          </w:p>
        </w:tc>
        <w:tc>
          <w:tcPr>
            <w:tcW w:w="31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十六、金融支出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47</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17</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十七、援助其他地区支出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48</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十八、自然资源海洋气象等支出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49</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十九、住房保障支出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50</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二十、粮油物资储备支出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51</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二十一、国有资本经营预算支出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52</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二十二、灾害防治及应急管理支出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二十三、其他支出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24</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二十四、债务还本支出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55</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25</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二十五、债务付息支出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56</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26</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二十六、抗疫特别国债安排的支出</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57</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本年收入合计</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27</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86.30</w:t>
            </w:r>
          </w:p>
        </w:tc>
        <w:tc>
          <w:tcPr>
            <w:tcW w:w="316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本年支出合计</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58</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使用非财政拨款结余</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28</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结余分配</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59</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年初结转和结余</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3.20</w:t>
            </w: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年末结转和结余</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16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w:t>
            </w:r>
          </w:p>
        </w:tc>
        <w:tc>
          <w:tcPr>
            <w:tcW w:w="35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0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427"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w:t>
            </w:r>
          </w:p>
        </w:tc>
        <w:tc>
          <w:tcPr>
            <w:tcW w:w="35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89.50</w:t>
            </w:r>
          </w:p>
        </w:tc>
        <w:tc>
          <w:tcPr>
            <w:tcW w:w="316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42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62</w:t>
            </w:r>
          </w:p>
        </w:tc>
        <w:tc>
          <w:tcPr>
            <w:tcW w:w="350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516" w:type="dxa"/>
            <w:gridSpan w:val="7"/>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注：本表反映部门本年度的总收支和年末结转结余情况。本套报表金额单位转换时可能存在尾数误差。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0"/>
        <w:gridCol w:w="960"/>
        <w:gridCol w:w="960"/>
        <w:gridCol w:w="3930"/>
        <w:gridCol w:w="1800"/>
        <w:gridCol w:w="960"/>
        <w:gridCol w:w="960"/>
        <w:gridCol w:w="960"/>
        <w:gridCol w:w="960"/>
        <w:gridCol w:w="96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25" w:type="dxa"/>
            <w:gridSpan w:val="11"/>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3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93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80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205"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180"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部门：许昌市殡葬管理所</w:t>
            </w:r>
          </w:p>
        </w:tc>
        <w:tc>
          <w:tcPr>
            <w:tcW w:w="180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205"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180"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80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本年收入合计</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财政拨款收入</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上级补助收入</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事业收入</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经营收入</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附属单位上缴收入</w:t>
            </w:r>
          </w:p>
        </w:tc>
        <w:tc>
          <w:tcPr>
            <w:tcW w:w="1245"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393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80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245"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930"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80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245"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930"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80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245"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180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124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86.30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86.30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一般公共服务支出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群众团体事务</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83.39</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83.39</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10.18</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10.18</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2080502</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事业单位离退休</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5.43</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5.43</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4.74</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4.74</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20810</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社会福利</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73.21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73.21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2081004</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殡葬</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73.21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73.21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卫生健康支出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2.46</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2.46</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行政事业单位医疗</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2.46</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2.46</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2101102</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事业单位医疗</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2.46</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2.46</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025" w:type="dxa"/>
            <w:gridSpan w:val="11"/>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注：本表反映部门本年度取得的各项收入情况。</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0"/>
        <w:gridCol w:w="960"/>
        <w:gridCol w:w="960"/>
        <w:gridCol w:w="3930"/>
        <w:gridCol w:w="1800"/>
        <w:gridCol w:w="960"/>
        <w:gridCol w:w="960"/>
        <w:gridCol w:w="960"/>
        <w:gridCol w:w="960"/>
        <w:gridCol w:w="2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96" w:type="dxa"/>
            <w:gridSpan w:val="10"/>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3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93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80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36"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180"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部门：许昌市殡葬管理所</w:t>
            </w:r>
          </w:p>
        </w:tc>
        <w:tc>
          <w:tcPr>
            <w:tcW w:w="180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36"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180"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80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本年支出合计</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项目支出</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上缴上级支出</w:t>
            </w:r>
          </w:p>
        </w:tc>
        <w:tc>
          <w:tcPr>
            <w:tcW w:w="96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经营支出</w:t>
            </w:r>
          </w:p>
        </w:tc>
        <w:tc>
          <w:tcPr>
            <w:tcW w:w="2276"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393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80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2276"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930"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80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2276"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930"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80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6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2276"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180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9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227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86.90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86.90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一般公共服务支出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群众团体事务</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83.94</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83.94</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11.60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11.60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2080502</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事业单位离退休</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6.13</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6.13</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5.47</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5.47</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20810</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社会福利</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72.34</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72.34</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2081004</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殡葬</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72.34</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72.34</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卫生健康支出</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行政事业单位医疗</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2101102</w:t>
            </w: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事业单位医疗</w:t>
            </w: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3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0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096" w:type="dxa"/>
            <w:gridSpan w:val="10"/>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注：本表反映部门本年度各项支出情况。</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997"/>
        <w:gridCol w:w="635"/>
        <w:gridCol w:w="1393"/>
        <w:gridCol w:w="3240"/>
        <w:gridCol w:w="418"/>
        <w:gridCol w:w="826"/>
        <w:gridCol w:w="1091"/>
        <w:gridCol w:w="1047"/>
        <w:gridCol w:w="2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43" w:type="dxa"/>
            <w:gridSpan w:val="9"/>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99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63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39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4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1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2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9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443"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5025" w:type="dxa"/>
            <w:gridSpan w:val="3"/>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部门：许昌市殡葬管理所</w:t>
            </w:r>
          </w:p>
        </w:tc>
        <w:tc>
          <w:tcPr>
            <w:tcW w:w="324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1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2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9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443"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502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收     入</w:t>
            </w:r>
          </w:p>
        </w:tc>
        <w:tc>
          <w:tcPr>
            <w:tcW w:w="9018" w:type="dxa"/>
            <w:gridSpan w:val="6"/>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997"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63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139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金额</w:t>
            </w:r>
          </w:p>
        </w:tc>
        <w:tc>
          <w:tcPr>
            <w:tcW w:w="324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418"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826"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09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一般公共预算财政拨款</w:t>
            </w:r>
          </w:p>
        </w:tc>
        <w:tc>
          <w:tcPr>
            <w:tcW w:w="104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政府性基金预算财政拨款</w:t>
            </w:r>
          </w:p>
        </w:tc>
        <w:tc>
          <w:tcPr>
            <w:tcW w:w="2396"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5" w:hRule="atLeast"/>
        </w:trPr>
        <w:tc>
          <w:tcPr>
            <w:tcW w:w="2997"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635"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393"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3240"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418"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826"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091"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047"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396"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139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32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82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09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10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239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一、一般公共预算财政拨款</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86.30</w:t>
            </w: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一、一般公共服务支出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33</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二、政府性基金预算财政拨款</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二、外交支出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三、国有资本经营财政拨款</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三、国防支出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35</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四、公共安全支出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五、教育支出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37</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六、科学技术支出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38</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七、文化旅游体育与传媒支出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八、社会保障和就业支出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40</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83.94</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83.94</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九、卫生健康支出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41</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十、节能环保支出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42</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十一、城乡社区支出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43</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十二、农林水支出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44</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13</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十三、交通运输支出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45</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十四、资源勘探工业信息等支出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46</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15</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十五、商业服务业等支出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47</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十六、金融支出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48</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17</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十七、援助其他地区支出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49</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十八、自然资源海洋气象等支出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50</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十九、住房保障支出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51</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二十、粮油物资储备支出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52</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二十一、国有资本经营预算支出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二十二、灾害防治及应急管理支出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二十三、其他支出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55</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24</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二十四、债务还本支出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56</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二十五、债务付息支出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57</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26</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二十六、抗疫特别国债安排的支出</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58</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本年收入合计</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27</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86.30</w:t>
            </w:r>
          </w:p>
        </w:tc>
        <w:tc>
          <w:tcPr>
            <w:tcW w:w="32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本年支出合计</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59</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86.90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86.90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ind w:firstLine="220" w:firstLineChars="10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年初财政拨款结转和结余</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28</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3.20</w:t>
            </w: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年末财政拨款结转和结余</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2.60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2.60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一般公共预算财政拨款</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3.20</w:t>
            </w: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政府性基金预算财政拨款</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62</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国有资本经营预算财政拨款</w:t>
            </w:r>
          </w:p>
        </w:tc>
        <w:tc>
          <w:tcPr>
            <w:tcW w:w="6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324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99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635"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32</w:t>
            </w:r>
          </w:p>
        </w:tc>
        <w:tc>
          <w:tcPr>
            <w:tcW w:w="139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89.50</w:t>
            </w:r>
          </w:p>
        </w:tc>
        <w:tc>
          <w:tcPr>
            <w:tcW w:w="32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41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64</w:t>
            </w:r>
          </w:p>
        </w:tc>
        <w:tc>
          <w:tcPr>
            <w:tcW w:w="82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89.50</w:t>
            </w:r>
          </w:p>
        </w:tc>
        <w:tc>
          <w:tcPr>
            <w:tcW w:w="10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89.50</w:t>
            </w:r>
          </w:p>
        </w:tc>
        <w:tc>
          <w:tcPr>
            <w:tcW w:w="10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39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043" w:type="dxa"/>
            <w:gridSpan w:val="9"/>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2"/>
                <w:u w:val="none"/>
                <w:lang w:eastAsia="zh-CN"/>
              </w:rPr>
              <w:t>注：本表反映部门本年度一般公共预算财政拨款、政府性基金预算财政拨款和国有资本经营预算财政拨款的总收支和年末结转结余情况。</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93"/>
        <w:gridCol w:w="853"/>
        <w:gridCol w:w="853"/>
        <w:gridCol w:w="3829"/>
        <w:gridCol w:w="1665"/>
        <w:gridCol w:w="2478"/>
        <w:gridCol w:w="4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25" w:type="dxa"/>
            <w:gridSpan w:val="7"/>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9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5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5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829"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66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6532"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5828"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部门：许昌市殡葬管理所</w:t>
            </w:r>
          </w:p>
        </w:tc>
        <w:tc>
          <w:tcPr>
            <w:tcW w:w="166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6532"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5828"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8197"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382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66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2478"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405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70" w:hRule="atLeast"/>
        </w:trPr>
        <w:tc>
          <w:tcPr>
            <w:tcW w:w="1999"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829"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665"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478"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4054"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829"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665"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478"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4054"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5828"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166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247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405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5828"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86.90</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86.90</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一般公共服务支出</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群众团体事务</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83.94</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83.94</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11.60</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11.60</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2080502</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事业单位离退休</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6.13</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6.13</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w:t>
            </w:r>
            <w:r>
              <w:rPr>
                <w:rFonts w:hint="eastAsia" w:ascii="宋体" w:hAnsi="宋体" w:eastAsia="宋体"/>
                <w:b w:val="0"/>
                <w:i w:val="0"/>
                <w:snapToGrid/>
                <w:color w:val="000000"/>
                <w:sz w:val="22"/>
                <w:u w:val="none"/>
                <w:lang w:val="en-US" w:eastAsia="zh-CN"/>
              </w:rPr>
              <w:t xml:space="preserve"> </w:t>
            </w:r>
            <w:r>
              <w:rPr>
                <w:rFonts w:hint="default" w:ascii="宋体" w:hAnsi="宋体" w:eastAsia="宋体"/>
                <w:b w:val="0"/>
                <w:i w:val="0"/>
                <w:snapToGrid/>
                <w:color w:val="000000"/>
                <w:sz w:val="22"/>
                <w:u w:val="none"/>
                <w:lang w:eastAsia="zh-CN"/>
              </w:rPr>
              <w:t>机关事业单位基本养老保险缴费支出</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5.47</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5.47</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20810</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社会福利</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72.34</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72.34</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2081004</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殡葬</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72.34</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72.34</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卫生健康支出</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行政事业单位医疗</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2101102</w:t>
            </w: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事业单位医疗</w:t>
            </w: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82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6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4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0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025" w:type="dxa"/>
            <w:gridSpan w:val="7"/>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注：本表反映部门本年度一般公共预算财政拨款支出情况。</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21"/>
        <w:gridCol w:w="2980"/>
        <w:gridCol w:w="156"/>
        <w:gridCol w:w="681"/>
        <w:gridCol w:w="622"/>
        <w:gridCol w:w="54"/>
        <w:gridCol w:w="2291"/>
        <w:gridCol w:w="1"/>
        <w:gridCol w:w="772"/>
        <w:gridCol w:w="240"/>
        <w:gridCol w:w="500"/>
        <w:gridCol w:w="4267"/>
        <w:gridCol w:w="750"/>
        <w:gridCol w:w="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43" w:type="dxa"/>
            <w:gridSpan w:val="14"/>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2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98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37"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62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346"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12" w:type="dxa"/>
            <w:gridSpan w:val="2"/>
            <w:noWrap w:val="0"/>
            <w:vAlign w:val="bottom"/>
          </w:tcPr>
          <w:p>
            <w:pPr>
              <w:kinsoku/>
              <w:autoSpaceDE/>
              <w:autoSpaceDN w:val="0"/>
              <w:jc w:val="right"/>
              <w:textAlignment w:val="bottom"/>
              <w:rPr>
                <w:rFonts w:hint="default" w:ascii="Arial" w:hAnsi="宋体"/>
                <w:b w:val="0"/>
                <w:i w:val="0"/>
                <w:snapToGrid/>
                <w:color w:val="000000"/>
                <w:sz w:val="20"/>
                <w:u w:val="none"/>
              </w:rPr>
            </w:pPr>
          </w:p>
        </w:tc>
        <w:tc>
          <w:tcPr>
            <w:tcW w:w="5625" w:type="dxa"/>
            <w:gridSpan w:val="4"/>
            <w:noWrap w:val="0"/>
            <w:vAlign w:val="bottom"/>
          </w:tcPr>
          <w:p>
            <w:pPr>
              <w:kinsoku/>
              <w:autoSpaceDE/>
              <w:autoSpaceDN w:val="0"/>
              <w:jc w:val="right"/>
              <w:textAlignment w:val="bottom"/>
              <w:rPr>
                <w:rFonts w:hint="default" w:ascii="宋体" w:hAnsi="宋体" w:eastAsia="宋体"/>
                <w:b w:val="0"/>
                <w:i w:val="0"/>
                <w:snapToGrid/>
                <w:color w:val="000000"/>
                <w:sz w:val="18"/>
                <w:u w:val="none"/>
                <w:lang w:eastAsia="zh-CN"/>
              </w:rPr>
            </w:pPr>
            <w:r>
              <w:rPr>
                <w:rFonts w:hint="default" w:ascii="宋体" w:hAnsi="宋体" w:eastAsia="宋体"/>
                <w:b w:val="0"/>
                <w:i w:val="0"/>
                <w:snapToGrid/>
                <w:color w:val="000000"/>
                <w:sz w:val="18"/>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4438"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部门：许昌市殡葬管理所</w:t>
            </w:r>
          </w:p>
        </w:tc>
        <w:tc>
          <w:tcPr>
            <w:tcW w:w="622" w:type="dxa"/>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p>
        </w:tc>
        <w:tc>
          <w:tcPr>
            <w:tcW w:w="2346"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12"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5625" w:type="dxa"/>
            <w:gridSpan w:val="4"/>
            <w:noWrap w:val="0"/>
            <w:vAlign w:val="bottom"/>
          </w:tcPr>
          <w:p>
            <w:pPr>
              <w:kinsoku/>
              <w:autoSpaceDE/>
              <w:autoSpaceDN w:val="0"/>
              <w:jc w:val="right"/>
              <w:textAlignment w:val="bottom"/>
              <w:rPr>
                <w:rFonts w:hint="default" w:ascii="宋体" w:hAnsi="宋体" w:eastAsia="宋体"/>
                <w:b w:val="0"/>
                <w:i w:val="0"/>
                <w:snapToGrid/>
                <w:color w:val="000000"/>
                <w:sz w:val="18"/>
                <w:u w:val="none"/>
                <w:lang w:eastAsia="zh-CN"/>
              </w:rPr>
            </w:pPr>
            <w:r>
              <w:rPr>
                <w:rFonts w:hint="default" w:ascii="宋体" w:hAnsi="宋体" w:eastAsia="宋体"/>
                <w:b w:val="0"/>
                <w:i w:val="0"/>
                <w:snapToGrid/>
                <w:color w:val="000000"/>
                <w:sz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4438"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人员经费</w:t>
            </w:r>
          </w:p>
        </w:tc>
        <w:tc>
          <w:tcPr>
            <w:tcW w:w="9605" w:type="dxa"/>
            <w:gridSpan w:val="10"/>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621"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科目编码</w:t>
            </w:r>
          </w:p>
        </w:tc>
        <w:tc>
          <w:tcPr>
            <w:tcW w:w="3136"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68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c>
          <w:tcPr>
            <w:tcW w:w="676"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科目编码</w:t>
            </w:r>
          </w:p>
        </w:tc>
        <w:tc>
          <w:tcPr>
            <w:tcW w:w="229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773"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c>
          <w:tcPr>
            <w:tcW w:w="740"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科目编码</w:t>
            </w:r>
          </w:p>
        </w:tc>
        <w:tc>
          <w:tcPr>
            <w:tcW w:w="426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858"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621"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136"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681"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676"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291"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773"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740"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4267"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858"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工资福利支出</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74.11</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商品和服务支出</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307</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债务利息及费用支出</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30101</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基本工资</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22.89</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30201</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办公费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1.77</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30701</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国内债务付息</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30102</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津贴补贴</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25.49</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30202</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印刷费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1.69</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30702</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国外债务付息</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30103</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奖金</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30203</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咨询费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资本性支出</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30106</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伙食补助费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30204</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手续费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31001</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房屋建筑物购建</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30107</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绩效工资</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12.35</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30205</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水费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31002</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办公设备购置</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30108</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5.47</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30206</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电费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31003</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专用设备购置</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30109</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职业年金缴费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30207</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邮电费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0.15</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31005</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基础设施建设</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30110</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职工基本医疗保险缴费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2.51</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30208</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取暖费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31006</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大型修缮</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30111</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公务员医疗补助缴费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30209</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物业管理费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31007</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信息网络及软件购置更新</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30112</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其他社会保障缴费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0.48</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30211</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差旅费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0.61</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31008</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物资储备</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30113</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住房公积金</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4.91</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30212</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因公出国（境）费用</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31009</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土地补偿</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30114</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医疗费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30213</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维修（护）费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31010</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安置补助</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30199</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其他工资福利支出</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30214</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租赁费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31011</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地上附着物和青苗补偿</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对个人和家庭的补助</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6.36</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30215</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会议费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31012</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拆迁补偿</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30301</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离休费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30216</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培训费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31013</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公务用车购置</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30302</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退休费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30217</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公务接待费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31019</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其他交通工具购置</w:t>
            </w:r>
          </w:p>
        </w:tc>
        <w:tc>
          <w:tcPr>
            <w:tcW w:w="8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30303</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退职（役）费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30218</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专用材料费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31021</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文物和陈列品购置</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30304</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抚恤金</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30224</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被装购置费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31022</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无形资产购置</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30305</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生活补助</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1.07</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30225</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专用燃料费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31099</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其他资本性支出</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30306</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救济费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30226</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劳务费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其他支出</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30307</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医疗费补助</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30227</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委托业务费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39906</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赠与</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30308</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助学金</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30228</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工会经费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0.45</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39907</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国家赔偿费用支出</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30309</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奖励金</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30229</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福利费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0.64</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39908</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对民间非营利组织和群众性自治组织补贴</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30310</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个人农业生产补贴</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30231</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公务用车运行维护费</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39999</w:t>
            </w: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其他支出</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30311</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代缴社会保险费</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30239</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其他交通费用</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30399</w:t>
            </w: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其他对个人和家庭的补助</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30240</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税金及附加费用</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621"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13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676"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30299</w:t>
            </w:r>
          </w:p>
        </w:tc>
        <w:tc>
          <w:tcPr>
            <w:tcW w:w="229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其他商品和服务支出</w:t>
            </w:r>
          </w:p>
        </w:tc>
        <w:tc>
          <w:tcPr>
            <w:tcW w:w="7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74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26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3757" w:type="dxa"/>
            <w:gridSpan w:val="3"/>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人员经费合计</w:t>
            </w:r>
          </w:p>
        </w:tc>
        <w:tc>
          <w:tcPr>
            <w:tcW w:w="6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80.47</w:t>
            </w:r>
          </w:p>
        </w:tc>
        <w:tc>
          <w:tcPr>
            <w:tcW w:w="8747" w:type="dxa"/>
            <w:gridSpan w:val="8"/>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公用经费合计</w:t>
            </w:r>
          </w:p>
        </w:tc>
        <w:tc>
          <w:tcPr>
            <w:tcW w:w="7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08" w:type="dxa"/>
          <w:trHeight w:val="300" w:hRule="atLeast"/>
        </w:trPr>
        <w:tc>
          <w:tcPr>
            <w:tcW w:w="13935" w:type="dxa"/>
            <w:gridSpan w:val="13"/>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注：本表反映部门本年度一般公共预算财政拨款基本支出明细情况。</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320"/>
        <w:gridCol w:w="1425"/>
        <w:gridCol w:w="978"/>
        <w:gridCol w:w="33"/>
        <w:gridCol w:w="1315"/>
        <w:gridCol w:w="33"/>
        <w:gridCol w:w="984"/>
        <w:gridCol w:w="985"/>
        <w:gridCol w:w="978"/>
        <w:gridCol w:w="33"/>
        <w:gridCol w:w="1424"/>
        <w:gridCol w:w="984"/>
        <w:gridCol w:w="33"/>
        <w:gridCol w:w="978"/>
        <w:gridCol w:w="98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40" w:hRule="atLeast"/>
        </w:trPr>
        <w:tc>
          <w:tcPr>
            <w:tcW w:w="13808" w:type="dxa"/>
            <w:gridSpan w:val="16"/>
            <w:noWrap w:val="0"/>
            <w:vAlign w:val="bottom"/>
          </w:tcPr>
          <w:p>
            <w:pPr>
              <w:kinsoku/>
              <w:autoSpaceDE/>
              <w:autoSpaceDN w:val="0"/>
              <w:jc w:val="center"/>
              <w:textAlignment w:val="bottom"/>
              <w:rPr>
                <w:rFonts w:hint="default" w:ascii="宋体" w:hAnsi="宋体" w:eastAsia="宋体"/>
                <w:b w:val="0"/>
                <w:i w:val="0"/>
                <w:snapToGrid/>
                <w:color w:val="000000"/>
                <w:sz w:val="44"/>
                <w:u w:val="none"/>
                <w:lang w:eastAsia="zh-CN"/>
              </w:rPr>
            </w:pPr>
            <w:r>
              <w:rPr>
                <w:rFonts w:hint="default" w:ascii="宋体" w:hAnsi="宋体" w:eastAsia="宋体"/>
                <w:b w:val="0"/>
                <w:i w:val="0"/>
                <w:snapToGrid/>
                <w:color w:val="000000"/>
                <w:sz w:val="44"/>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0" w:hRule="atLeast"/>
        </w:trPr>
        <w:tc>
          <w:tcPr>
            <w:tcW w:w="132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42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348"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17"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8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457"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17"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83"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0" w:hRule="atLeast"/>
        </w:trPr>
        <w:tc>
          <w:tcPr>
            <w:tcW w:w="5071" w:type="dxa"/>
            <w:gridSpan w:val="5"/>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部门：许昌市殡葬管理所</w:t>
            </w:r>
          </w:p>
        </w:tc>
        <w:tc>
          <w:tcPr>
            <w:tcW w:w="1017"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8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457"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17"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83"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7073" w:type="dxa"/>
            <w:gridSpan w:val="8"/>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预算数</w:t>
            </w:r>
          </w:p>
        </w:tc>
        <w:tc>
          <w:tcPr>
            <w:tcW w:w="6735" w:type="dxa"/>
            <w:gridSpan w:val="8"/>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1320"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42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因公出国（境）费</w:t>
            </w:r>
          </w:p>
        </w:tc>
        <w:tc>
          <w:tcPr>
            <w:tcW w:w="3343"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公务用车购置及运行费</w:t>
            </w:r>
          </w:p>
        </w:tc>
        <w:tc>
          <w:tcPr>
            <w:tcW w:w="98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公务接待费</w:t>
            </w:r>
          </w:p>
        </w:tc>
        <w:tc>
          <w:tcPr>
            <w:tcW w:w="1011"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42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因公出国（境）费</w:t>
            </w:r>
          </w:p>
        </w:tc>
        <w:tc>
          <w:tcPr>
            <w:tcW w:w="2980"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公务用车购置及运行费</w:t>
            </w:r>
          </w:p>
        </w:tc>
        <w:tc>
          <w:tcPr>
            <w:tcW w:w="132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70" w:hRule="atLeast"/>
        </w:trPr>
        <w:tc>
          <w:tcPr>
            <w:tcW w:w="1320" w:type="dxa"/>
            <w:vMerge w:val="continue"/>
            <w:tcBorders>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1425"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101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134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公务用车购置费</w:t>
            </w:r>
          </w:p>
        </w:tc>
        <w:tc>
          <w:tcPr>
            <w:tcW w:w="98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公务用车运行费</w:t>
            </w:r>
          </w:p>
        </w:tc>
        <w:tc>
          <w:tcPr>
            <w:tcW w:w="985" w:type="dxa"/>
            <w:vMerge w:val="continue"/>
            <w:tcBorders>
              <w:bottom w:val="single" w:color="000000" w:sz="4" w:space="0"/>
              <w:right w:val="single" w:color="000000" w:sz="4" w:space="0"/>
            </w:tcBorders>
            <w:noWrap w:val="0"/>
            <w:vAlign w:val="center"/>
          </w:tcPr>
          <w:p>
            <w:pPr>
              <w:rPr>
                <w:rFonts w:hint="default" w:ascii="宋体" w:hAnsi="宋体"/>
                <w:sz w:val="24"/>
              </w:rPr>
            </w:pPr>
          </w:p>
        </w:tc>
        <w:tc>
          <w:tcPr>
            <w:tcW w:w="1011" w:type="dxa"/>
            <w:gridSpan w:val="2"/>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z w:val="24"/>
              </w:rPr>
            </w:pPr>
          </w:p>
        </w:tc>
        <w:tc>
          <w:tcPr>
            <w:tcW w:w="1424"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z w:val="24"/>
              </w:rPr>
            </w:pPr>
          </w:p>
        </w:tc>
        <w:tc>
          <w:tcPr>
            <w:tcW w:w="98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101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公务用车购置费</w:t>
            </w:r>
          </w:p>
        </w:tc>
        <w:tc>
          <w:tcPr>
            <w:tcW w:w="9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公务用车运行费</w:t>
            </w:r>
          </w:p>
        </w:tc>
        <w:tc>
          <w:tcPr>
            <w:tcW w:w="1320"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132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142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01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134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98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9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101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142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w:t>
            </w:r>
          </w:p>
        </w:tc>
        <w:tc>
          <w:tcPr>
            <w:tcW w:w="98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w:t>
            </w:r>
          </w:p>
        </w:tc>
        <w:tc>
          <w:tcPr>
            <w:tcW w:w="101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w:t>
            </w:r>
          </w:p>
        </w:tc>
        <w:tc>
          <w:tcPr>
            <w:tcW w:w="9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w:t>
            </w:r>
          </w:p>
        </w:tc>
        <w:tc>
          <w:tcPr>
            <w:tcW w:w="132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1320" w:type="dxa"/>
            <w:tcBorders>
              <w:left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142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1011"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134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9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98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1011"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142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9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1011"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98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c>
          <w:tcPr>
            <w:tcW w:w="1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50" w:hRule="atLeast"/>
        </w:trPr>
        <w:tc>
          <w:tcPr>
            <w:tcW w:w="13808" w:type="dxa"/>
            <w:gridSpan w:val="16"/>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注：本表反映部门本年度“三公”经费支出预决算情况。其中，预算数为“三公”经费</w:t>
            </w:r>
            <w:r>
              <w:rPr>
                <w:rFonts w:hint="eastAsia" w:ascii="宋体" w:hAnsi="宋体" w:eastAsia="宋体"/>
                <w:b w:val="0"/>
                <w:i w:val="0"/>
                <w:snapToGrid/>
                <w:color w:val="000000"/>
                <w:sz w:val="22"/>
                <w:u w:val="none"/>
                <w:lang w:val="en-US" w:eastAsia="zh-CN"/>
              </w:rPr>
              <w:t>全年</w:t>
            </w:r>
            <w:r>
              <w:rPr>
                <w:rFonts w:hint="default" w:ascii="宋体" w:hAnsi="宋体" w:eastAsia="宋体"/>
                <w:b w:val="0"/>
                <w:i w:val="0"/>
                <w:snapToGrid/>
                <w:color w:val="000000"/>
                <w:sz w:val="22"/>
                <w:u w:val="none"/>
                <w:lang w:eastAsia="zh-CN"/>
              </w:rPr>
              <w:t>预算数</w:t>
            </w:r>
            <w:r>
              <w:rPr>
                <w:rFonts w:hint="eastAsia" w:ascii="宋体" w:hAnsi="宋体" w:eastAsia="宋体"/>
                <w:b w:val="0"/>
                <w:i w:val="0"/>
                <w:snapToGrid/>
                <w:color w:val="000000"/>
                <w:sz w:val="22"/>
                <w:u w:val="none"/>
                <w:lang w:eastAsia="zh-CN"/>
              </w:rPr>
              <w:t>，</w:t>
            </w:r>
            <w:r>
              <w:rPr>
                <w:rFonts w:hint="eastAsia" w:ascii="宋体" w:hAnsi="宋体" w:eastAsia="宋体"/>
                <w:b w:val="0"/>
                <w:i w:val="0"/>
                <w:snapToGrid/>
                <w:color w:val="000000"/>
                <w:sz w:val="22"/>
                <w:u w:val="none"/>
                <w:lang w:val="en-US" w:eastAsia="zh-CN"/>
              </w:rPr>
              <w:t>反映按规定程序调整后的预算数；</w:t>
            </w:r>
            <w:r>
              <w:rPr>
                <w:rFonts w:hint="default" w:ascii="宋体" w:hAnsi="宋体" w:eastAsia="宋体"/>
                <w:b w:val="0"/>
                <w:i w:val="0"/>
                <w:snapToGrid/>
                <w:color w:val="000000"/>
                <w:sz w:val="22"/>
                <w:u w:val="none"/>
                <w:lang w:eastAsia="zh-CN"/>
              </w:rPr>
              <w:t>决算数是包括当年一般公共预算财政拨款和以前年度结转资金安排的实际支出。</w:t>
            </w:r>
            <w:r>
              <w:rPr>
                <w:rFonts w:hint="eastAsia" w:ascii="宋体" w:hAnsi="宋体" w:eastAsia="宋体"/>
                <w:b w:val="0"/>
                <w:i w:val="0"/>
                <w:snapToGrid/>
                <w:color w:val="000000"/>
                <w:sz w:val="22"/>
                <w:u w:val="none"/>
                <w:lang w:val="en-US" w:eastAsia="zh-CN"/>
              </w:rPr>
              <w:t>本表金额转换成万元时，因四舍五入可能存在尾差。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 xml:space="preserve"> 说明：我部门没有预算安排的三公经费，也没有预算安排的三公支出，故本表无数据。</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77"/>
        <w:gridCol w:w="1010"/>
        <w:gridCol w:w="1009"/>
        <w:gridCol w:w="3949"/>
        <w:gridCol w:w="1835"/>
        <w:gridCol w:w="1164"/>
        <w:gridCol w:w="1164"/>
        <w:gridCol w:w="36"/>
        <w:gridCol w:w="1158"/>
        <w:gridCol w:w="1164"/>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3" w:hRule="atLeast"/>
        </w:trPr>
        <w:tc>
          <w:tcPr>
            <w:tcW w:w="14031" w:type="dxa"/>
            <w:gridSpan w:val="11"/>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3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1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09"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949"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83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6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200"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487"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6345"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部门：许昌市殡葬管理所</w:t>
            </w:r>
          </w:p>
        </w:tc>
        <w:tc>
          <w:tcPr>
            <w:tcW w:w="183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6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200"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487"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6345"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835"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年初结转和结余</w:t>
            </w:r>
          </w:p>
        </w:tc>
        <w:tc>
          <w:tcPr>
            <w:tcW w:w="1164"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本年收入</w:t>
            </w:r>
          </w:p>
        </w:tc>
        <w:tc>
          <w:tcPr>
            <w:tcW w:w="3522"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w:t>
            </w:r>
          </w:p>
        </w:tc>
        <w:tc>
          <w:tcPr>
            <w:tcW w:w="1165"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2396"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394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835"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1164"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116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1194"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116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项目支出</w:t>
            </w:r>
          </w:p>
        </w:tc>
        <w:tc>
          <w:tcPr>
            <w:tcW w:w="1165"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2396"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949"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835"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64"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64"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94" w:type="dxa"/>
            <w:gridSpan w:val="2"/>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64"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65"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2396"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3949"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835"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64"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64"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94" w:type="dxa"/>
            <w:gridSpan w:val="2"/>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64"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165"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6345"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183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116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16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119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116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116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6345"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83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19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1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2396"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4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3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9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2396"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4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3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9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2396"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4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3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9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2396"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4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3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9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2396"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4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3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9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2396"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4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3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9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6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14031" w:type="dxa"/>
            <w:gridSpan w:val="11"/>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注：本表反映部门本年度政府性基金预算财政拨款收入、支出及结转和结余情况。</w:t>
            </w:r>
          </w:p>
        </w:tc>
      </w:tr>
    </w:tbl>
    <w:p>
      <w:pPr>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2020年度收、支总计均为89.50万元。与上年度相比，收、支总计各增加2.43万元，增长2.79%。主要原因是上年人员增资和各项社会保险基数调整。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入合计86.30万元，其中：财政拨款收入86.30万元，占100.00%；上级补助收入0.00万元，占0.00%；事业收入0.00万元，占0.00%；经营收入0.00万元，占0.00%；附属单位上缴收入0.00万元，占0.00%；其他收入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2020年度支出合计86.90万元，其中：基本支出86.90万元，占100%；项目支出0.00万元，占0.00%；上缴上级支出0万元，占0.00%；经营支出0.00万元，占0.00%；对附属单位补助支出0.00万元，占0.00%。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2020年度财政拨款收、支总计均为89.50元。与上年度相比，财政拨款收、支总计各增加2.43万元，增长2.79%。主要原因是上年人员增资和各项社会保险基数调整。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2020年度一般公共预算财政拨款支出86.90万元，占本年支出合计的100.00%。与上年度相比，一般公共预算财政拨款支出增加3.03万元，增长3.62%。主要原因是上年人员增资和各项社会保险基数调整。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2020年度一般公共预算财政拨款支出86.90万元，主要用于以下方面：一般公共服务（类）支出0.45万元，占0.52%；社会保障和就业（类）支出83.94万元，占96.59%；卫生健康（类）支出2.51万元，占2.89%。</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2020年度一般公共预算财政拨款支出年初预算为86.90万元，支出决算为86.90万元，完成年初预算的100.00%。其中：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年初预算为0.45万元，支出决算为0.45万元，完成年初预算的100.00%。决算数与年初预算数不存在差异。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年初预算为6.13万元，支出决算为6.13万元，完成年初预算的100.00%。决算数与年初预算数不存在差异。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3．社会保障和就业支出（类）行政事业单位离退休（款）机关事业单位基本养老保险缴费支出（项）。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年初预算为5.47万元，支出决算为5.47万元，完成年初预算的100.00%。决算数与年初预算数不存在差异。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4．社会保障和就业支出（类）社会福利（款）殡葬（项）。</w:t>
      </w:r>
      <w:r>
        <w:rPr>
          <w:rFonts w:hint="eastAsia" w:ascii="仿宋_GB2312" w:hAnsi="仿宋_GB2312" w:eastAsia="仿宋_GB2312" w:cs="仿宋_GB2312"/>
          <w:color w:val="auto"/>
          <w:sz w:val="32"/>
          <w:szCs w:val="32"/>
          <w:highlight w:val="none"/>
          <w:lang w:val="en-US" w:eastAsia="zh-CN"/>
        </w:rPr>
        <w:t>年初预算为72.34万元，支出决算为72.34万元，完成年初预算的100.00%。决算数与年初预算数不存在差异。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年初预算为2.51万元，支出决算为2.51万元，完成年初预算的100.00%。决算数与年初预算数不存在差异。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基本支出86.90万元。其中：人员经费80.47万元，主要包括：基本工资、津贴补贴、绩效工资、机关事业单位基本养老保险缴费、职业年金缴费、职工基本医疗保险缴费、其他社会保障缴费、住房公积金、其他工资福利支出、退休费、生活补助、其他对个人和家庭的补助支出；公用经费6.43万元，主要包括：办公费、印刷费、邮电费、差旅费、工会经费、福利费、公务用车运行维护费、办公设备购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2020年度“三公”经费财政拨款支出预算为0.00万元，支出决算为0.00万元。2020年度“三公”经费支出决算数与预算数存在差异的主要原因是全年公务接待费和公务用车运行维护费零支出。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2020年度“三公”经费财政拨款支出决算中，因公出国（境）费支出决算0.00万元，占0.00%；公务用车购置及运行费支出决算0.00万元，占0.00%。具体情况如下：</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预算为0.00万元，支出决算为0.00万元。</w:t>
      </w:r>
      <w:r>
        <w:rPr>
          <w:rFonts w:hint="eastAsia" w:ascii="仿宋_GB2312" w:hAnsi="仿宋_GB2312" w:eastAsia="仿宋_GB2312" w:cs="仿宋_GB2312"/>
          <w:color w:val="auto"/>
          <w:sz w:val="32"/>
          <w:szCs w:val="32"/>
          <w:highlight w:val="none"/>
          <w:u w:val="none" w:color="auto"/>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2．公务用车购置及运行费</w:t>
      </w:r>
      <w:r>
        <w:rPr>
          <w:rFonts w:hint="eastAsia" w:ascii="仿宋_GB2312" w:hAnsi="仿宋_GB2312" w:eastAsia="仿宋_GB2312" w:cs="仿宋_GB2312"/>
          <w:color w:val="auto"/>
          <w:sz w:val="32"/>
          <w:szCs w:val="32"/>
          <w:highlight w:val="none"/>
          <w:lang w:val="en-US" w:eastAsia="zh-CN"/>
        </w:rPr>
        <w:t>预算为0.00万元，支出决算为0.00</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0.00万元。2020年期末，部门开支财政拨款的公务用车保有量为0辆。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预算为0.00万元，支出决算为0.00万元。其中：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0.00万元。2020年共接待国（境）外来访团组0个、来访外宾0人次（不包括陪同人员）。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0万元。2020年共接待国内来访团组0个、来宾0人次（不包括陪同人员）。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eastAsia="zh-CN"/>
        </w:rPr>
        <w:t>我单位</w:t>
      </w:r>
      <w:r>
        <w:rPr>
          <w:rFonts w:hint="eastAsia" w:ascii="仿宋_GB2312" w:hAnsi="宋体" w:eastAsia="仿宋_GB2312" w:cs="Courier New"/>
          <w:sz w:val="32"/>
          <w:szCs w:val="32"/>
          <w:lang w:val="en-US" w:eastAsia="zh-CN"/>
        </w:rPr>
        <w:t>通过目标计划梳理、工作数据采集、目标完成情况调查等手段，评估了我单位2020年部门绩效目标的完成情况。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（二）部门整体绩效自评结果。</w:t>
      </w:r>
    </w:p>
    <w:p>
      <w:pPr>
        <w:keepNext w:val="0"/>
        <w:keepLines w:val="0"/>
        <w:pageBreakBefore w:val="0"/>
        <w:kinsoku w:val="0"/>
        <w:wordWrap/>
        <w:overflowPunct w:val="0"/>
        <w:topLinePunct w:val="0"/>
        <w:autoSpaceDE w:val="0"/>
        <w:autoSpaceDN w:val="0"/>
        <w:bidi w:val="0"/>
        <w:adjustRightInd w:val="0"/>
        <w:snapToGrid w:val="0"/>
        <w:spacing w:before="0" w:beforeLines="0" w:after="0" w:afterLines="0" w:line="590" w:lineRule="exact"/>
        <w:ind w:left="0" w:leftChars="0" w:right="0" w:rightChars="0" w:firstLine="640" w:firstLineChars="200"/>
        <w:jc w:val="both"/>
        <w:textAlignment w:val="auto"/>
        <w:outlineLvl w:val="9"/>
        <w:rPr>
          <w:rFonts w:hint="eastAsia" w:ascii="宋体" w:hAnsi="宋体" w:eastAsia="仿宋_GB2312"/>
          <w:sz w:val="32"/>
          <w:lang w:val="zh-CN" w:eastAsia="zh-CN"/>
        </w:rPr>
      </w:pPr>
      <w:r>
        <w:rPr>
          <w:rFonts w:hint="eastAsia" w:ascii="仿宋_GB2312" w:hAnsi="宋体" w:eastAsia="仿宋_GB2312" w:cs="Courier New"/>
          <w:sz w:val="32"/>
          <w:szCs w:val="32"/>
          <w:lang w:val="en-US" w:eastAsia="zh-CN"/>
        </w:rPr>
        <w:t>2020年本部门绩效自评结果良好，设置了明确的绩效目标，财务相关管理制度健全，预算执行及时，基本实现了预期。</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sz w:val="32"/>
          <w:szCs w:val="32"/>
          <w:lang w:val="en-US" w:eastAsia="zh-CN"/>
        </w:rPr>
        <w:t>重点</w:t>
      </w:r>
      <w:r>
        <w:rPr>
          <w:rFonts w:hint="eastAsia" w:ascii="楷体_GB2312" w:hAnsi="楷体_GB2312" w:eastAsia="楷体_GB2312" w:cs="楷体_GB2312"/>
          <w:b/>
          <w:bCs/>
          <w:color w:val="auto"/>
          <w:sz w:val="32"/>
          <w:szCs w:val="32"/>
          <w:highlight w:val="none"/>
          <w:lang w:val="en-US" w:eastAsia="zh-CN"/>
        </w:rPr>
        <w:t>项目绩效自评结果。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sz w:val="32"/>
          <w:szCs w:val="32"/>
          <w:lang w:val="en-US" w:eastAsia="zh-CN"/>
        </w:rPr>
        <w:t>2020年许昌市殡葬管理开展了重点项目绩效自评，评价结果良好。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2020年度政府性基金预算财政拨款支出年初预算为0.00万元，支出决算为0.00万元。主要原因：我部门2020年度没有政府性基金收入，也没有使用政府性基金安排的支出。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2020年度机关运行经费年初预算为0.00万元，支出决算为0.00万元。我单位不是行政机关，也不是参照公务员管理事业单位，没有机关运行经费支出。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2020年度政府采购支出总额0.00万元，其中：政府采购货物支出0.00万元、政府采购工程支出0.00万元、政府采购服务支出0.00万元。授予中小企业合同金额0.00万元，其中：授予小微企业合同金额0.00万元。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rtlGutter w:val="0"/>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abstractNum w:abstractNumId="2">
    <w:nsid w:val="63088E24"/>
    <w:multiLevelType w:val="singleLevel"/>
    <w:tmpl w:val="63088E24"/>
    <w:lvl w:ilvl="0" w:tentative="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MWI1YjU0NTc0YzQ3OTY5ZjMwNjM3MDhmMWY1MDMifQ=="/>
  </w:docVars>
  <w:rsids>
    <w:rsidRoot w:val="00172A27"/>
    <w:rsid w:val="01E77641"/>
    <w:rsid w:val="04CE3EBD"/>
    <w:rsid w:val="06E54240"/>
    <w:rsid w:val="073413D7"/>
    <w:rsid w:val="09CB5F78"/>
    <w:rsid w:val="0DBA593F"/>
    <w:rsid w:val="0E0D1416"/>
    <w:rsid w:val="0F253C9F"/>
    <w:rsid w:val="174F3FD9"/>
    <w:rsid w:val="22787E07"/>
    <w:rsid w:val="2C7219A3"/>
    <w:rsid w:val="2D7B23E8"/>
    <w:rsid w:val="322F032F"/>
    <w:rsid w:val="35EF2360"/>
    <w:rsid w:val="396808F7"/>
    <w:rsid w:val="3A5E69D2"/>
    <w:rsid w:val="4195647D"/>
    <w:rsid w:val="47370CD6"/>
    <w:rsid w:val="51362A41"/>
    <w:rsid w:val="52EB3E8C"/>
    <w:rsid w:val="53DA5D2E"/>
    <w:rsid w:val="58AF5667"/>
    <w:rsid w:val="5B237C9F"/>
    <w:rsid w:val="5CD07B56"/>
    <w:rsid w:val="5D2107A8"/>
    <w:rsid w:val="62F44723"/>
    <w:rsid w:val="64C960A2"/>
    <w:rsid w:val="680C7433"/>
    <w:rsid w:val="697138CB"/>
    <w:rsid w:val="6BAE515B"/>
    <w:rsid w:val="71FE0E33"/>
    <w:rsid w:val="773439AB"/>
    <w:rsid w:val="7B5C4149"/>
    <w:rsid w:val="7DE55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3"/>
    <w:uiPriority w:val="0"/>
    <w:rPr>
      <w:kern w:val="2"/>
      <w:sz w:val="18"/>
      <w:szCs w:val="18"/>
    </w:rPr>
  </w:style>
  <w:style w:type="paragraph" w:styleId="5">
    <w:name w:val="footer"/>
    <w:basedOn w:val="1"/>
    <w:link w:val="14"/>
    <w:uiPriority w:val="0"/>
    <w:pPr>
      <w:tabs>
        <w:tab w:val="center" w:pos="4153"/>
        <w:tab w:val="right" w:pos="8306"/>
      </w:tabs>
      <w:snapToGrid w:val="0"/>
      <w:jc w:val="left"/>
    </w:pPr>
    <w:rPr>
      <w:kern w:val="2"/>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basedOn w:val="9"/>
    <w:uiPriority w:val="0"/>
    <w:rPr>
      <w:vertAlign w:val="superscript"/>
    </w:rPr>
  </w:style>
  <w:style w:type="character" w:customStyle="1" w:styleId="13">
    <w:name w:val="批注框文本 Char Char"/>
    <w:basedOn w:val="9"/>
    <w:link w:val="4"/>
    <w:uiPriority w:val="0"/>
    <w:rPr>
      <w:kern w:val="2"/>
      <w:sz w:val="18"/>
      <w:szCs w:val="18"/>
    </w:rPr>
  </w:style>
  <w:style w:type="character" w:customStyle="1" w:styleId="14">
    <w:name w:val="页脚 Char Char"/>
    <w:link w:val="5"/>
    <w:uiPriority w:val="0"/>
    <w:rPr>
      <w:kern w:val="2"/>
      <w:sz w:val="18"/>
      <w:szCs w:val="18"/>
    </w:rPr>
  </w:style>
  <w:style w:type="character" w:customStyle="1" w:styleId="15">
    <w:name w:val="页眉 Char Char"/>
    <w:link w:val="6"/>
    <w:uiPriority w:val="0"/>
    <w:rPr>
      <w:kern w:val="2"/>
      <w:sz w:val="18"/>
      <w:szCs w:val="18"/>
    </w:rPr>
  </w:style>
  <w:style w:type="character" w:customStyle="1" w:styleId="16">
    <w:name w:val="font21"/>
    <w:basedOn w:val="9"/>
    <w:uiPriority w:val="0"/>
    <w:rPr>
      <w:rFonts w:hint="eastAsia" w:ascii="宋体" w:hAnsi="宋体" w:eastAsia="宋体" w:cs="宋体"/>
      <w:color w:val="000000"/>
      <w:sz w:val="22"/>
      <w:szCs w:val="22"/>
      <w:u w:val="none"/>
    </w:rPr>
  </w:style>
  <w:style w:type="character" w:customStyle="1" w:styleId="17">
    <w:name w:val="font01"/>
    <w:basedOn w:val="9"/>
    <w:uiPriority w:val="0"/>
    <w:rPr>
      <w:rFonts w:hint="eastAsia" w:ascii="宋体" w:hAnsi="宋体" w:eastAsia="宋体" w:cs="宋体"/>
      <w:color w:val="000000"/>
      <w:sz w:val="22"/>
      <w:szCs w:val="22"/>
      <w:u w:val="none"/>
    </w:rPr>
  </w:style>
  <w:style w:type="character" w:customStyle="1" w:styleId="18">
    <w:name w:val="font51"/>
    <w:basedOn w:val="9"/>
    <w:uiPriority w:val="0"/>
    <w:rPr>
      <w:rFonts w:hint="eastAsia" w:ascii="宋体" w:hAnsi="宋体" w:eastAsia="宋体" w:cs="宋体"/>
      <w:color w:val="000000"/>
      <w:sz w:val="24"/>
      <w:szCs w:val="24"/>
      <w:u w:val="none"/>
    </w:rPr>
  </w:style>
  <w:style w:type="character" w:customStyle="1" w:styleId="19">
    <w:name w:val="font41"/>
    <w:basedOn w:val="9"/>
    <w:uiPriority w:val="0"/>
    <w:rPr>
      <w:rFonts w:hint="eastAsia" w:ascii="宋体" w:hAnsi="宋体" w:eastAsia="宋体" w:cs="宋体"/>
      <w:color w:val="000000"/>
      <w:sz w:val="24"/>
      <w:szCs w:val="24"/>
      <w:u w:val="none"/>
    </w:rPr>
  </w:style>
  <w:style w:type="character" w:customStyle="1" w:styleId="20">
    <w:name w:val="font11"/>
    <w:basedOn w:val="9"/>
    <w:uiPriority w:val="0"/>
    <w:rPr>
      <w:rFonts w:hint="eastAsia" w:ascii="宋体" w:hAnsi="宋体" w:eastAsia="宋体" w:cs="宋体"/>
      <w:color w:val="000000"/>
      <w:sz w:val="20"/>
      <w:szCs w:val="20"/>
      <w:u w:val="none"/>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7180</Words>
  <Characters>9624</Characters>
  <Lines>57</Lines>
  <Paragraphs>16</Paragraphs>
  <TotalTime>4</TotalTime>
  <ScaleCrop>false</ScaleCrop>
  <LinksUpToDate>false</LinksUpToDate>
  <CharactersWithSpaces>9841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2018-07-24T10:50:24Z</cp:lastPrinted>
  <dcterms:modified xsi:type="dcterms:W3CDTF">2021-09-13T10:58:18Z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48E3C9928DBC4F51AC993D5ABAB5487B</vt:lpwstr>
  </property>
</Properties>
</file>