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lang w:val="en-US" w:eastAsia="zh-CN"/>
        </w:rPr>
      </w:pPr>
      <w:r>
        <w:rPr>
          <w:rFonts w:hint="eastAsia" w:ascii="黑体" w:hAnsi="宋体" w:eastAsia="黑体" w:cs="宋体"/>
          <w:kern w:val="0"/>
          <w:sz w:val="28"/>
          <w:szCs w:val="28"/>
          <w:lang w:val="en-US" w:eastAsia="zh-CN"/>
        </w:rPr>
        <w:t xml:space="preserve">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2018年度</w:t>
      </w:r>
    </w:p>
    <w:p>
      <w:pPr>
        <w:jc w:val="center"/>
        <w:rPr>
          <w:rFonts w:hint="eastAsia" w:ascii="黑体" w:hAnsi="黑体" w:eastAsia="黑体" w:cs="黑体"/>
          <w:sz w:val="52"/>
          <w:szCs w:val="52"/>
        </w:rPr>
      </w:pPr>
      <w:r>
        <w:rPr>
          <w:rFonts w:hint="eastAsia" w:ascii="黑体" w:hAnsi="黑体" w:eastAsia="黑体" w:cs="黑体"/>
          <w:sz w:val="52"/>
          <w:szCs w:val="52"/>
        </w:rPr>
        <w:t>许昌市民政局部门决算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许昌市民政局部门概况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hint="eastAsia"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许昌市民政局部门概况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spacing w:line="360" w:lineRule="auto"/>
        <w:ind w:firstLine="640" w:firstLineChars="200"/>
        <w:jc w:val="left"/>
        <w:outlineLvl w:val="1"/>
        <w:rPr>
          <w:rFonts w:hint="eastAsia"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许昌市委、许昌市人民政府《关于印发〈许昌市人民政府职能转变和机构改革实施意见〉的通知》(许发〔2014〕26号),许昌市民政局主要职责是：担负社会救助、社会福利、社区建设、民间组织管理、双拥优抚安置和专项社会事务管理等社会管理和公共服务职能。</w:t>
      </w:r>
    </w:p>
    <w:p>
      <w:pPr>
        <w:widowControl/>
        <w:spacing w:line="360" w:lineRule="auto"/>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宋体" w:hAnsi="宋体" w:eastAsia="仿宋_GB2312"/>
          <w:sz w:val="32"/>
          <w:szCs w:val="32"/>
        </w:rPr>
        <w:t>许昌市民政局内设11个职能科（室），分别是办公室、社会救助科、基层政权和社区建设科、区划地名科、社会福利和慈善事业促进科、社会事务科、老龄工作科、规划与资金管理科、人事科、机关党委、监察室。</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w:t>
      </w:r>
      <w:bookmarkStart w:id="0" w:name="_GoBack"/>
      <w:bookmarkEnd w:id="0"/>
      <w:r>
        <w:rPr>
          <w:rFonts w:hint="eastAsia" w:ascii="仿宋_GB2312" w:hAnsi="仿宋_GB2312" w:eastAsia="仿宋_GB2312" w:cs="仿宋_GB2312"/>
          <w:kern w:val="0"/>
          <w:sz w:val="32"/>
          <w:szCs w:val="32"/>
        </w:rPr>
        <w:t>从决算单位构成看，许昌市民政局部门决算包括：本级决算、所属事业单位决算。</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纳入本部门2018年度部门决算编制范围的单位共10个，其中二级预算单位</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个，具体是：</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1．许昌市民政局（本级）</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2．许昌市烈士陵园管理</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 许昌市殡仪馆</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4. 许昌市殡葬管理所</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5. 许昌市按摩医院</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6. 许昌市救助管理站</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7. 许昌市社会福利院</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8. 许昌市低收入家庭认定指导中心</w:t>
      </w:r>
    </w:p>
    <w:p>
      <w:pPr>
        <w:pStyle w:val="11"/>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9. 许昌市军队离退休干部第一休养所</w:t>
      </w:r>
    </w:p>
    <w:p>
      <w:pPr>
        <w:pStyle w:val="11"/>
        <w:spacing w:line="360" w:lineRule="auto"/>
        <w:ind w:firstLine="640" w:firstLineChars="200"/>
        <w:jc w:val="left"/>
        <w:rPr>
          <w:rFonts w:ascii="仿宋_GB2312" w:eastAsia="仿宋_GB2312"/>
          <w:sz w:val="32"/>
          <w:szCs w:val="32"/>
        </w:rPr>
        <w:sectPr>
          <w:pgSz w:w="12240" w:h="15840"/>
          <w:pgMar w:top="1440" w:right="1800" w:bottom="1440" w:left="1800" w:header="720" w:footer="720" w:gutter="0"/>
          <w:cols w:space="720" w:num="1"/>
        </w:sectPr>
      </w:pPr>
      <w:r>
        <w:rPr>
          <w:rFonts w:hint="eastAsia" w:ascii="仿宋_GB2312" w:eastAsia="仿宋_GB2312"/>
          <w:sz w:val="32"/>
          <w:szCs w:val="32"/>
        </w:rPr>
        <w:t>10.许昌市军队离退休干部第二休养所</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2018年度部门决算表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13,530.86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588.16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45.80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7,855.44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九、医疗卫生与计划生育支出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cs="Arial"/>
                <w:color w:val="000000"/>
                <w:sz w:val="22"/>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cs="Arial"/>
                <w:color w:val="000000"/>
                <w:sz w:val="22"/>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cs="Arial"/>
                <w:color w:val="000000"/>
                <w:sz w:val="22"/>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cs="Arial"/>
                <w:color w:val="000000"/>
                <w:sz w:val="22"/>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cs="Arial"/>
                <w:color w:val="000000"/>
                <w:sz w:val="22"/>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十八、国土海洋气象等支出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Arial"/>
                <w:color w:val="000000"/>
                <w:sz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二十一、其他支出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r>
              <w:rPr>
                <w:rFonts w:hint="eastAsia" w:ascii="宋体" w:hAnsi="宋体" w:cs="Arial"/>
                <w:color w:val="000000"/>
                <w:sz w:val="22"/>
              </w:rPr>
              <w:t>726.95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Arial"/>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14,164.82</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13,629.97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13,170.05</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13,704.90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　</w:t>
            </w: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53</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27,334.88</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54</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27,334.88</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89" w:type="dxa"/>
        <w:tblInd w:w="0" w:type="dxa"/>
        <w:tblLayout w:type="fixed"/>
        <w:tblCellMar>
          <w:top w:w="0" w:type="dxa"/>
          <w:left w:w="0" w:type="dxa"/>
          <w:bottom w:w="0" w:type="dxa"/>
          <w:right w:w="0" w:type="dxa"/>
        </w:tblCellMar>
      </w:tblPr>
      <w:tblGrid>
        <w:gridCol w:w="1086"/>
        <w:gridCol w:w="4179"/>
        <w:gridCol w:w="1365"/>
        <w:gridCol w:w="1365"/>
        <w:gridCol w:w="945"/>
        <w:gridCol w:w="1050"/>
        <w:gridCol w:w="1155"/>
        <w:gridCol w:w="74"/>
        <w:gridCol w:w="976"/>
        <w:gridCol w:w="1194"/>
      </w:tblGrid>
      <w:tr>
        <w:tblPrEx>
          <w:tblCellMar>
            <w:top w:w="0" w:type="dxa"/>
            <w:left w:w="0" w:type="dxa"/>
            <w:bottom w:w="0" w:type="dxa"/>
            <w:right w:w="0" w:type="dxa"/>
          </w:tblCellMar>
        </w:tblPrEx>
        <w:trPr>
          <w:trHeight w:val="435" w:hRule="atLeast"/>
        </w:trPr>
        <w:tc>
          <w:tcPr>
            <w:tcW w:w="13389"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3389" w:type="dxa"/>
            <w:gridSpan w:val="10"/>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1219" w:type="dxa"/>
            <w:gridSpan w:val="8"/>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5265" w:type="dxa"/>
            <w:gridSpan w:val="2"/>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36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365"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94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05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0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194"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spacing w:line="24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41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5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12" w:hRule="atLeast"/>
        </w:trPr>
        <w:tc>
          <w:tcPr>
            <w:tcW w:w="1086"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41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94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5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5265"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94"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5265" w:type="dxa"/>
            <w:gridSpan w:val="2"/>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14,164.82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13,530.86</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588.16</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45.80</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w:t>
            </w:r>
          </w:p>
        </w:tc>
        <w:tc>
          <w:tcPr>
            <w:tcW w:w="41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社会保障和就业支出</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8,542.67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7,908.70</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588.16</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45.80</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w:t>
            </w:r>
          </w:p>
        </w:tc>
        <w:tc>
          <w:tcPr>
            <w:tcW w:w="41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民政管理事务</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1,192.02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1,192.02</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2080201</w:t>
            </w:r>
          </w:p>
        </w:tc>
        <w:tc>
          <w:tcPr>
            <w:tcW w:w="41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行政运行</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818.74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818.74</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2080202</w:t>
            </w:r>
          </w:p>
        </w:tc>
        <w:tc>
          <w:tcPr>
            <w:tcW w:w="41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一般行政管理事务</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135.93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135.93</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2080204</w:t>
            </w:r>
          </w:p>
        </w:tc>
        <w:tc>
          <w:tcPr>
            <w:tcW w:w="41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拥军优属</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44.00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44.00</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2080205</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老龄事务</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2080207</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行政区划和地名管理</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67.54</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67.54</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其他民政管理事务支出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115.80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115.80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行政事业单位离退休</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361.83</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361.83</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归口管理的行政单位离退休</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178.91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178.91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事业单位离退休</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182.92</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182.92</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抚恤</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632.54</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632.54</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死亡抚恤</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176.95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176.95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2080804</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优抚事业单位支出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252.39</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252.39</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其他优抚支出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203.20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203.20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退役安置</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2,009.68</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2,009.68</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退役士兵安置</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66.44</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66.44</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军队移交政府的离退休人员安置</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1,600.80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1,600.80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2080903</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军队移交政府离退休干部管理机构</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182.69</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182.69</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2080904</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退役士兵管理教育</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147.71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147.71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其他退役安置支出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社会福利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3,495.83</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2,861.86</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588.16</w:t>
            </w: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45.80</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儿童福利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281.70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281.70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老年福利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85.50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85.50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2081004</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殡葬</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552.97</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252.97</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300.00</w:t>
            </w: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2081005</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社会福利事业单位</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1,752.06</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1,418.09</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288.16</w:t>
            </w: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45.80</w:t>
            </w: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其他社会福利支出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823.60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823.60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残疾人事业</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其他残疾人事业支出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自然灾害生活救助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地方自然灾害生活补助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临时救助</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667.71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667.71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流浪乞讨人员救助支出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667.71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667.71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特困人员救助供养</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97.91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97.91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城市特困人员救助供养支出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97.91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97.91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其他社会保障和就业支出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14.21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14.21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2089901</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其他社会保障和就业支出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14.21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14.21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城乡社区支出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4,022.61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4,022.61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21203</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城乡社区公共设施</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22.61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22.61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2120399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其他城乡社区公共设施支出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22.61</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22.61</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国有土地使用权出让收入及对应专项债务收入安排的支出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其他国有土地使用权出让收入安排的支出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彩票公益金及对应专项债务收入安排的支出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2296002</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用于社会福利的彩票公益金支出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1,571.00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1,571.00</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2296099</w:t>
            </w:r>
          </w:p>
        </w:tc>
        <w:tc>
          <w:tcPr>
            <w:tcW w:w="417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用于其他社会公益事业的彩票公益金支出</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28.55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28.55</w:t>
            </w:r>
          </w:p>
        </w:tc>
        <w:tc>
          <w:tcPr>
            <w:tcW w:w="94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0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615" w:hRule="atLeast"/>
        </w:trPr>
        <w:tc>
          <w:tcPr>
            <w:tcW w:w="13389" w:type="dxa"/>
            <w:gridSpan w:val="1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30" w:type="dxa"/>
        <w:tblInd w:w="0" w:type="dxa"/>
        <w:tblLayout w:type="fixed"/>
        <w:tblCellMar>
          <w:top w:w="0" w:type="dxa"/>
          <w:left w:w="0" w:type="dxa"/>
          <w:bottom w:w="0" w:type="dxa"/>
          <w:right w:w="0" w:type="dxa"/>
        </w:tblCellMar>
      </w:tblPr>
      <w:tblGrid>
        <w:gridCol w:w="1183"/>
        <w:gridCol w:w="2927"/>
        <w:gridCol w:w="1680"/>
        <w:gridCol w:w="1470"/>
        <w:gridCol w:w="1365"/>
        <w:gridCol w:w="1617"/>
        <w:gridCol w:w="1039"/>
        <w:gridCol w:w="536"/>
        <w:gridCol w:w="1913"/>
      </w:tblGrid>
      <w:tr>
        <w:tblPrEx>
          <w:tblCellMar>
            <w:top w:w="0" w:type="dxa"/>
            <w:left w:w="0" w:type="dxa"/>
            <w:bottom w:w="0" w:type="dxa"/>
            <w:right w:w="0" w:type="dxa"/>
          </w:tblCellMar>
        </w:tblPrEx>
        <w:trPr>
          <w:trHeight w:val="435" w:hRule="atLeast"/>
        </w:trPr>
        <w:tc>
          <w:tcPr>
            <w:tcW w:w="13730"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3730"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11281" w:type="dxa"/>
            <w:gridSpan w:val="7"/>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4110" w:type="dxa"/>
            <w:gridSpan w:val="2"/>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8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47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36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61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5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13"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9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8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1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5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1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9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1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5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1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110"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13"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4110" w:type="dxa"/>
            <w:gridSpan w:val="2"/>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13,629.97</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3,464.42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10,165.55</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社会保障和就业支出</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7,855.44</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3,464.42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4,391.02</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民政管理事务</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1,195.48</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379.03</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2080201</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行政运行</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2080202</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一般行政管理事务</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140.76</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140.76</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2080204</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拥军优属</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117.42</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117.42</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2080205</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老龄事务</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13.47</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13.47</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2080207</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行政区划和地名管理</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5.77</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5.77</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2080208</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基层政权和社区建设</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13.54</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13.54</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其他民政管理事务支出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88.09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88.09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行政事业单位离退休</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422.60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422.60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归口管理的行政单位离退休</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253.26</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253.26</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事业单位离退休</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169.34</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169.34</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抚恤</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586.05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120.79</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465.26</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2080804</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优抚事业单位支出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436.26</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120.79</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315.46</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其他优抚支出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149.79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149.79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退役安置</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1,884.69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1,884.69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退役士兵安置</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66.57</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66.57</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军队移交政府的离退休人员安置</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846.35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846.35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2080903</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军队移交政府离退休干部管理机构</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138.03</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138.03</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2080904</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退役士兵管理教育</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59.14</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59.14</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其他退役安置支出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774.60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774.60</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社会福利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2,576.27</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1,759.53</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816.74</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儿童福利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137.65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137.65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老年福利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2081004</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殡葬</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501.44</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419.74</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81.70</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2081005</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社会福利事业单位</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1,732.67</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1,339.79</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392.88</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其他社会福利支出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196.34</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196.34</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残疾人事业</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其他残疾人事业支出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自然灾害生活救助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地方自然灾害生活补助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临时救助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823.86</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335.05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488.81</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临时救助支出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流浪乞讨人员救助支出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823.86</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335.05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488.81</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特困人员救助供养</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城市特困人员救助供养支出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其他社会保障和就业支出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其他社会保障和就业支出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医疗卫生与计划生育支出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21014</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优抚对象医疗</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2101401</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优抚对象医疗补助</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城乡社区支出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国有土地使用权出让收入及对应专项债务收入安排的支出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其他国有土地使用权出让收入安排的支出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彩票公益金及对应专项债务收入安排的支出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2296002</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用于社会福利的彩票公益金支出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652.80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652.80</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2296099</w:t>
            </w:r>
          </w:p>
        </w:tc>
        <w:tc>
          <w:tcPr>
            <w:tcW w:w="292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用于其他社会公益事业的彩票公益金支出</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74.15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74.15</w:t>
            </w:r>
          </w:p>
        </w:tc>
        <w:tc>
          <w:tcPr>
            <w:tcW w:w="161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1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730"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994"/>
        <w:gridCol w:w="720"/>
        <w:gridCol w:w="1210"/>
        <w:gridCol w:w="3400"/>
        <w:gridCol w:w="597"/>
        <w:gridCol w:w="1224"/>
        <w:gridCol w:w="827"/>
        <w:gridCol w:w="538"/>
        <w:gridCol w:w="1478"/>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0" w:type="dxa"/>
            <w:bottom w:w="0" w:type="dxa"/>
            <w:right w:w="0" w:type="dxa"/>
          </w:tblCellMar>
        </w:tblPrEx>
        <w:trPr>
          <w:trHeight w:val="199"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11972" w:type="dxa"/>
            <w:gridSpan w:val="7"/>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478"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7,931.31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28</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5,599.55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29</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30</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31</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32</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33</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七、文化体育与传媒支出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34</w:t>
            </w:r>
          </w:p>
        </w:tc>
        <w:tc>
          <w:tcPr>
            <w:tcW w:w="122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35</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6,832.81</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6,832.81</w:t>
            </w: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36</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37</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38</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39</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40</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41</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42</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43</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44</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十八、国土海洋气象等支出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45</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46</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47</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二十一、其他支出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48</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13,530.86</w:t>
            </w: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ascii="宋体" w:hAnsi="宋体" w:cs="Arial"/>
                <w:b/>
                <w:bCs/>
                <w:color w:val="000000"/>
                <w:sz w:val="20"/>
                <w:szCs w:val="20"/>
              </w:rPr>
            </w:pPr>
            <w:r>
              <w:rPr>
                <w:rFonts w:hint="eastAsia" w:ascii="宋体" w:hAnsi="宋体" w:cs="Arial"/>
                <w:b/>
                <w:bCs/>
                <w:color w:val="00000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49</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12,607.34</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6,838.20</w:t>
            </w: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5,769.14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12,449.18</w:t>
            </w: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50</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13,372.70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3,922.80</w:t>
            </w: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9,449.91</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2,829.69</w:t>
            </w: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51</w:t>
            </w:r>
          </w:p>
        </w:tc>
        <w:tc>
          <w:tcPr>
            <w:tcW w:w="1224"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7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25</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9,619.50</w:t>
            </w:r>
          </w:p>
        </w:tc>
        <w:tc>
          <w:tcPr>
            <w:tcW w:w="34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52</w:t>
            </w:r>
          </w:p>
        </w:tc>
        <w:tc>
          <w:tcPr>
            <w:tcW w:w="122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78"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26</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　</w:t>
            </w:r>
          </w:p>
        </w:tc>
        <w:tc>
          <w:tcPr>
            <w:tcW w:w="34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53</w:t>
            </w:r>
          </w:p>
        </w:tc>
        <w:tc>
          <w:tcPr>
            <w:tcW w:w="122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78"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27</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25,980.04</w:t>
            </w:r>
          </w:p>
        </w:tc>
        <w:tc>
          <w:tcPr>
            <w:tcW w:w="3400"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Arial"/>
                <w:color w:val="000000"/>
                <w:sz w:val="22"/>
              </w:rPr>
            </w:pPr>
            <w:r>
              <w:rPr>
                <w:rFonts w:hint="eastAsia" w:ascii="宋体" w:hAnsi="宋体" w:cs="Arial"/>
                <w:color w:val="000000"/>
                <w:sz w:val="22"/>
              </w:rPr>
              <w:t>54</w:t>
            </w:r>
          </w:p>
        </w:tc>
        <w:tc>
          <w:tcPr>
            <w:tcW w:w="1224"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25,980.04</w:t>
            </w:r>
          </w:p>
        </w:tc>
        <w:tc>
          <w:tcPr>
            <w:tcW w:w="1365"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10,761.00</w:t>
            </w:r>
          </w:p>
        </w:tc>
        <w:tc>
          <w:tcPr>
            <w:tcW w:w="1478"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b/>
                <w:color w:val="000000"/>
                <w:sz w:val="22"/>
              </w:rPr>
            </w:pPr>
            <w:r>
              <w:rPr>
                <w:rFonts w:hint="eastAsia" w:ascii="宋体" w:hAnsi="宋体" w:cs="Arial"/>
                <w:b/>
                <w:color w:val="000000"/>
                <w:sz w:val="22"/>
              </w:rPr>
              <w:t>15,219.05</w:t>
            </w: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75" w:type="dxa"/>
        <w:tblInd w:w="0" w:type="dxa"/>
        <w:tblLayout w:type="fixed"/>
        <w:tblCellMar>
          <w:top w:w="0" w:type="dxa"/>
          <w:left w:w="0" w:type="dxa"/>
          <w:bottom w:w="0" w:type="dxa"/>
          <w:right w:w="0" w:type="dxa"/>
        </w:tblCellMar>
      </w:tblPr>
      <w:tblGrid>
        <w:gridCol w:w="1414"/>
        <w:gridCol w:w="4166"/>
        <w:gridCol w:w="2575"/>
        <w:gridCol w:w="260"/>
        <w:gridCol w:w="2835"/>
        <w:gridCol w:w="2625"/>
      </w:tblGrid>
      <w:tr>
        <w:tblPrEx>
          <w:tblCellMar>
            <w:top w:w="0" w:type="dxa"/>
            <w:left w:w="0" w:type="dxa"/>
            <w:bottom w:w="0" w:type="dxa"/>
            <w:right w:w="0" w:type="dxa"/>
          </w:tblCellMar>
        </w:tblPrEx>
        <w:trPr>
          <w:trHeight w:val="600" w:hRule="atLeast"/>
        </w:trPr>
        <w:tc>
          <w:tcPr>
            <w:tcW w:w="13875"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13875"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2"/>
                <w:rFonts w:hint="default"/>
                <w:lang w:bidi="ar"/>
              </w:rPr>
              <w:t>5表</w:t>
            </w:r>
          </w:p>
        </w:tc>
      </w:tr>
      <w:tr>
        <w:tblPrEx>
          <w:tblCellMar>
            <w:top w:w="0" w:type="dxa"/>
            <w:left w:w="0" w:type="dxa"/>
            <w:bottom w:w="0" w:type="dxa"/>
            <w:right w:w="0" w:type="dxa"/>
          </w:tblCellMar>
        </w:tblPrEx>
        <w:trPr>
          <w:trHeight w:val="300" w:hRule="atLeast"/>
        </w:trPr>
        <w:tc>
          <w:tcPr>
            <w:tcW w:w="8155"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5720" w:type="dxa"/>
            <w:gridSpan w:val="3"/>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5580"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5"/>
                <w:rFonts w:hint="default"/>
                <w:sz w:val="20"/>
                <w:szCs w:val="20"/>
                <w:lang w:bidi="ar"/>
              </w:rPr>
              <w:t xml:space="preserve">   </w:t>
            </w:r>
            <w:r>
              <w:rPr>
                <w:rStyle w:val="16"/>
                <w:rFonts w:hint="default"/>
                <w:sz w:val="20"/>
                <w:szCs w:val="20"/>
                <w:lang w:bidi="ar"/>
              </w:rPr>
              <w:t>目</w:t>
            </w:r>
          </w:p>
        </w:tc>
        <w:tc>
          <w:tcPr>
            <w:tcW w:w="8295"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41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2835"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28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2625"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41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83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8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625"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41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83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8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625"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558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558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6,838.20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2,844.84</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3,993.36</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社会保障和就业支出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6,832.81</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2,844.84</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3,987.96</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民政管理事务</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1,195.48</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379.03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行政运行</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816.45</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一般行政管理事务</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140.76</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140.76</w:t>
            </w:r>
          </w:p>
        </w:tc>
      </w:tr>
      <w:tr>
        <w:tblPrEx>
          <w:tblCellMar>
            <w:top w:w="0" w:type="dxa"/>
            <w:left w:w="0" w:type="dxa"/>
            <w:bottom w:w="0" w:type="dxa"/>
            <w:right w:w="0" w:type="dxa"/>
          </w:tblCellMar>
        </w:tblPrEx>
        <w:trPr>
          <w:trHeight w:val="47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2080204</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拥军优属</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117.42</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117.42</w:t>
            </w:r>
          </w:p>
        </w:tc>
      </w:tr>
      <w:tr>
        <w:tblPrEx>
          <w:tblCellMar>
            <w:top w:w="0" w:type="dxa"/>
            <w:left w:w="0" w:type="dxa"/>
            <w:bottom w:w="0" w:type="dxa"/>
            <w:right w:w="0" w:type="dxa"/>
          </w:tblCellMar>
        </w:tblPrEx>
        <w:trPr>
          <w:trHeight w:val="9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2080205</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老龄事务</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13.47</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13.47</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2080207</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行政区划和地名管理</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5.77</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5.77</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2080208</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基层政权和社区建设</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13.54</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13.54</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2080299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其他民政管理事务支出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88.09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88.09</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行政事业单位离退休</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422.60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422.60</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归口管理的行政单位离退休</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253.26</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253.26</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4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2080502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事业单位离退休</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169.34</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169.34</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抚恤</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585.92</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120.66</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465.26</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2080804</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优抚事业单位支出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436.13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120.66</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315.46</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2080899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其他优抚支出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149.79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149.79</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退役安置</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1,664.93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1,664.93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退役士兵安置</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66.57</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66.57</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军队移交政府的离退休人员安置</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626.60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626.60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2080903</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军队移交政府离退休干部管理机构</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138.03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138.03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2080904</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退役士兵管理教育</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59.14</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59.14</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2080999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其他退役安置支出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774.60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774.60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社会福利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1,773.52</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1,140.08</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633.44</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儿童福利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137.65</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137.65</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老年福利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8.18</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2081004</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殡葬</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183.22</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136.78</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46.45</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2081005</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社会福利事业单位</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1,248.13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1,003.30</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244.83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2081099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其他社会福利支出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196.34</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196.34</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残疾人事业</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2081199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其他残疾人事业支出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10.00</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自然灾害生活救助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2081502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地方自然灾害生活补助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60.95</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临时救助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823.86</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335.05</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488.81</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临时救助支出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0.00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0.00</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0.00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2082002</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流浪乞讨人员救助支出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823.86</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335.05</w:t>
            </w: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488.81</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特困人员救助供养</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2082101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城市特困人员救助供养支出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35.23</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其他社会保障和就业支出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2089901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其他社会保障和就业支出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260.30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医疗卫生与计划生育支出</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21014</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优抚对象医疗</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2101401</w:t>
            </w:r>
          </w:p>
        </w:tc>
        <w:tc>
          <w:tcPr>
            <w:tcW w:w="4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优抚对象医疗补助</w:t>
            </w:r>
          </w:p>
        </w:tc>
        <w:tc>
          <w:tcPr>
            <w:tcW w:w="28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262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5.39</w:t>
            </w:r>
          </w:p>
        </w:tc>
      </w:tr>
      <w:tr>
        <w:tblPrEx>
          <w:tblCellMar>
            <w:top w:w="0" w:type="dxa"/>
            <w:left w:w="0" w:type="dxa"/>
            <w:bottom w:w="0" w:type="dxa"/>
            <w:right w:w="0" w:type="dxa"/>
          </w:tblCellMar>
        </w:tblPrEx>
        <w:trPr>
          <w:trHeight w:val="645" w:hRule="atLeast"/>
        </w:trPr>
        <w:tc>
          <w:tcPr>
            <w:tcW w:w="13875"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75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gridCol w:w="1800"/>
        <w:gridCol w:w="1800"/>
      </w:tblGrid>
      <w:tr>
        <w:tblPrEx>
          <w:tblCellMar>
            <w:top w:w="0" w:type="dxa"/>
            <w:left w:w="0" w:type="dxa"/>
            <w:bottom w:w="0" w:type="dxa"/>
            <w:right w:w="0" w:type="dxa"/>
          </w:tblCellMar>
        </w:tblPrEx>
        <w:trPr>
          <w:gridAfter w:val="2"/>
          <w:wAfter w:w="3600" w:type="dxa"/>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0" w:type="dxa"/>
            <w:bottom w:w="0" w:type="dxa"/>
            <w:right w:w="0" w:type="dxa"/>
          </w:tblCellMar>
        </w:tblPrEx>
        <w:trPr>
          <w:gridAfter w:val="2"/>
          <w:wAfter w:w="3600" w:type="dxa"/>
          <w:trHeight w:val="405" w:hRule="atLeast"/>
        </w:trPr>
        <w:tc>
          <w:tcPr>
            <w:tcW w:w="13050" w:type="dxa"/>
            <w:gridSpan w:val="8"/>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gridAfter w:val="2"/>
          <w:wAfter w:w="3600" w:type="dxa"/>
          <w:trHeight w:val="300" w:hRule="atLeast"/>
        </w:trPr>
        <w:tc>
          <w:tcPr>
            <w:tcW w:w="13050" w:type="dxa"/>
            <w:gridSpan w:val="8"/>
            <w:tcBorders>
              <w:top w:val="nil"/>
              <w:left w:val="nil"/>
              <w:bottom w:val="nil"/>
              <w:right w:val="nil"/>
            </w:tcBorders>
            <w:noWrap w:val="0"/>
            <w:tcMar>
              <w:top w:w="15" w:type="dxa"/>
              <w:left w:w="15" w:type="dxa"/>
              <w:right w:w="15" w:type="dxa"/>
            </w:tcMar>
            <w:vAlign w:val="center"/>
          </w:tcPr>
          <w:p>
            <w:pPr>
              <w:rPr>
                <w:rFonts w:hint="eastAsia" w:ascii="宋体" w:hAnsi="宋体" w:cs="Arial"/>
                <w:color w:val="000000"/>
                <w:sz w:val="20"/>
                <w:szCs w:val="20"/>
              </w:rPr>
            </w:pPr>
            <w:r>
              <w:rPr>
                <w:rFonts w:ascii="宋体" w:hAnsi="宋体" w:cs="Arial"/>
                <w:color w:val="000000"/>
                <w:kern w:val="0"/>
                <w:sz w:val="20"/>
                <w:szCs w:val="20"/>
                <w:lang w:bidi="ar"/>
              </w:rPr>
              <w:t>部门：</w:t>
            </w:r>
            <w:r>
              <w:rPr>
                <w:rFonts w:hint="eastAsia" w:ascii="宋体" w:hAnsi="宋体" w:cs="Arial"/>
                <w:color w:val="000000"/>
                <w:kern w:val="0"/>
                <w:sz w:val="20"/>
                <w:szCs w:val="20"/>
                <w:lang w:bidi="ar"/>
              </w:rPr>
              <w:t>许昌市民政局</w:t>
            </w: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2"/>
          <w:wAfter w:w="3600" w:type="dxa"/>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2,318.86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103.02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r>
              <w:rPr>
                <w:rFonts w:hint="eastAsia" w:ascii="宋体" w:hAnsi="宋体" w:cs="Arial"/>
                <w:color w:val="000000"/>
                <w:sz w:val="22"/>
              </w:rPr>
              <w:t>0.54</w:t>
            </w: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683.02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617.05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0.26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r>
              <w:rPr>
                <w:rFonts w:hint="eastAsia" w:ascii="宋体" w:hAnsi="宋体" w:cs="Arial"/>
                <w:color w:val="000000"/>
                <w:sz w:val="22"/>
              </w:rPr>
              <w:t>0.54</w:t>
            </w: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251.22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244.33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0.67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219.89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0.98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36.21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50.71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20.34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10.33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110.43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0.35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65.32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422.42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31.14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2.53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0.17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69.42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1.43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61.29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0.60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1.21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9.41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34.25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0.66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Arial"/>
                <w:color w:val="000000"/>
                <w:sz w:val="22"/>
              </w:rPr>
            </w:pPr>
          </w:p>
        </w:tc>
      </w:tr>
      <w:tr>
        <w:tblPrEx>
          <w:tblCellMar>
            <w:top w:w="0" w:type="dxa"/>
            <w:left w:w="0" w:type="dxa"/>
            <w:bottom w:w="0" w:type="dxa"/>
            <w:right w:w="0" w:type="dxa"/>
          </w:tblCellMar>
        </w:tblPrEx>
        <w:trPr>
          <w:gridAfter w:val="2"/>
          <w:wAfter w:w="3600" w:type="dxa"/>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2,741.28</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Arial"/>
                <w:color w:val="000000"/>
                <w:sz w:val="22"/>
              </w:rPr>
            </w:pPr>
            <w:r>
              <w:rPr>
                <w:rFonts w:hint="eastAsia" w:ascii="宋体" w:hAnsi="宋体" w:cs="Arial"/>
                <w:color w:val="000000"/>
                <w:sz w:val="22"/>
              </w:rPr>
              <w:t>103.56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c>
          <w:tcPr>
            <w:tcW w:w="1800" w:type="dxa"/>
            <w:noWrap w:val="0"/>
            <w:vAlign w:val="top"/>
          </w:tcPr>
          <w:p>
            <w:pPr>
              <w:widowControl/>
              <w:jc w:val="left"/>
              <w:rPr>
                <w:rFonts w:hint="eastAsia" w:ascii="宋体" w:hAnsi="宋体" w:cs="宋体"/>
                <w:color w:val="000000"/>
                <w:sz w:val="20"/>
                <w:szCs w:val="20"/>
              </w:rPr>
            </w:pPr>
          </w:p>
        </w:tc>
        <w:tc>
          <w:tcPr>
            <w:tcW w:w="1800" w:type="dxa"/>
            <w:noWrap w:val="0"/>
            <w:vAlign w:val="center"/>
          </w:tcPr>
          <w:p>
            <w:pPr>
              <w:jc w:val="right"/>
              <w:rPr>
                <w:rFonts w:ascii="宋体" w:hAnsi="宋体" w:cs="Arial"/>
                <w:color w:val="000000"/>
                <w:sz w:val="22"/>
              </w:rPr>
            </w:pPr>
            <w:r>
              <w:rPr>
                <w:rFonts w:hint="eastAsia" w:cs="Arial"/>
                <w:color w:val="000000"/>
                <w:sz w:val="22"/>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2656" w:type="dxa"/>
            <w:gridSpan w:val="11"/>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2656" w:type="dxa"/>
            <w:gridSpan w:val="11"/>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56.93</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42.28</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42.28</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13.65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40.89</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0.78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37.52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37.52</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2.60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9"/>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48"/>
        <w:gridCol w:w="4012"/>
        <w:gridCol w:w="1470"/>
        <w:gridCol w:w="1680"/>
        <w:gridCol w:w="1365"/>
        <w:gridCol w:w="1470"/>
        <w:gridCol w:w="1365"/>
        <w:gridCol w:w="1478"/>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22" w:hRule="atLeast"/>
        </w:trPr>
        <w:tc>
          <w:tcPr>
            <w:tcW w:w="12510" w:type="dxa"/>
            <w:gridSpan w:val="7"/>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47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12510" w:type="dxa"/>
            <w:gridSpan w:val="7"/>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部门：许昌市民政局</w:t>
            </w:r>
          </w:p>
        </w:tc>
        <w:tc>
          <w:tcPr>
            <w:tcW w:w="147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5160"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470"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68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4200"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478"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trHeight w:val="540" w:hRule="atLeast"/>
        </w:trPr>
        <w:tc>
          <w:tcPr>
            <w:tcW w:w="114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40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4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4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365"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478"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4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8"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12" w:hRule="atLeast"/>
        </w:trPr>
        <w:tc>
          <w:tcPr>
            <w:tcW w:w="114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4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65"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78"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516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5160" w:type="dxa"/>
            <w:gridSpan w:val="2"/>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9,619.50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5,599.55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5,769.14</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b/>
                <w:bCs/>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5,769.14</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b/>
                <w:bCs/>
                <w:color w:val="000000"/>
                <w:sz w:val="22"/>
              </w:rPr>
            </w:pPr>
            <w:r>
              <w:rPr>
                <w:rFonts w:hint="eastAsia" w:ascii="宋体" w:hAnsi="宋体" w:cs="Arial"/>
                <w:b/>
                <w:bCs/>
                <w:color w:val="000000"/>
                <w:sz w:val="22"/>
              </w:rPr>
              <w:t>9,449.91</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w:t>
            </w:r>
          </w:p>
        </w:tc>
        <w:tc>
          <w:tcPr>
            <w:tcW w:w="4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城乡社区支出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4,723.10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3,680.92</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w:t>
            </w:r>
          </w:p>
        </w:tc>
        <w:tc>
          <w:tcPr>
            <w:tcW w:w="4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国有土地使用权出让收入及对应专项债务收入安排的支出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4,723.10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3,680.92</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2120899</w:t>
            </w:r>
          </w:p>
        </w:tc>
        <w:tc>
          <w:tcPr>
            <w:tcW w:w="4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其他国有土地使用权出让收入安排的支出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4,723.10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4,000.00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5,042.19</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3,680.92</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w:t>
            </w:r>
          </w:p>
        </w:tc>
        <w:tc>
          <w:tcPr>
            <w:tcW w:w="4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其他支出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4,896.39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5,768.99</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w:t>
            </w:r>
          </w:p>
        </w:tc>
        <w:tc>
          <w:tcPr>
            <w:tcW w:w="4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彩票公益金及对应专项债务收入安排的支出</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4,896.39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1,599.55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726.95</w:t>
            </w:r>
          </w:p>
        </w:tc>
        <w:tc>
          <w:tcPr>
            <w:tcW w:w="147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5,768.99</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2296002</w:t>
            </w:r>
          </w:p>
        </w:tc>
        <w:tc>
          <w:tcPr>
            <w:tcW w:w="401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用于社会福利的彩票公益金支出</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4,802.02</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1,571.00</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652.80</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652.80</w:t>
            </w:r>
          </w:p>
        </w:tc>
        <w:tc>
          <w:tcPr>
            <w:tcW w:w="14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5,720.22</w:t>
            </w:r>
          </w:p>
        </w:tc>
      </w:tr>
      <w:tr>
        <w:tblPrEx>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ascii="宋体" w:hAnsi="宋体" w:cs="Arial"/>
                <w:color w:val="000000"/>
                <w:sz w:val="22"/>
              </w:rPr>
            </w:pPr>
            <w:r>
              <w:rPr>
                <w:rFonts w:hint="eastAsia" w:ascii="宋体" w:hAnsi="宋体" w:cs="Arial"/>
                <w:color w:val="000000"/>
                <w:sz w:val="22"/>
              </w:rPr>
              <w:t>2296099</w:t>
            </w:r>
          </w:p>
        </w:tc>
        <w:tc>
          <w:tcPr>
            <w:tcW w:w="401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 xml:space="preserve">  用于其他社会公益事业的彩票公益金支出</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94.37</w:t>
            </w:r>
          </w:p>
        </w:tc>
        <w:tc>
          <w:tcPr>
            <w:tcW w:w="16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28.55</w:t>
            </w:r>
          </w:p>
        </w:tc>
        <w:tc>
          <w:tcPr>
            <w:tcW w:w="13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74.15</w:t>
            </w:r>
          </w:p>
        </w:tc>
        <w:tc>
          <w:tcPr>
            <w:tcW w:w="14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Arial"/>
                <w:color w:val="000000"/>
                <w:sz w:val="22"/>
              </w:rPr>
            </w:pPr>
          </w:p>
        </w:tc>
        <w:tc>
          <w:tcPr>
            <w:tcW w:w="1365"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74.15</w:t>
            </w:r>
          </w:p>
        </w:tc>
        <w:tc>
          <w:tcPr>
            <w:tcW w:w="147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Arial"/>
                <w:color w:val="000000"/>
                <w:sz w:val="22"/>
              </w:rPr>
            </w:pPr>
            <w:r>
              <w:rPr>
                <w:rFonts w:hint="eastAsia" w:ascii="宋体" w:hAnsi="宋体" w:cs="Arial"/>
                <w:color w:val="000000"/>
                <w:sz w:val="22"/>
              </w:rPr>
              <w:t>48.77</w:t>
            </w:r>
          </w:p>
        </w:tc>
      </w:tr>
      <w:tr>
        <w:tblPrEx>
          <w:tblCellMar>
            <w:top w:w="0" w:type="dxa"/>
            <w:left w:w="0" w:type="dxa"/>
            <w:bottom w:w="0" w:type="dxa"/>
            <w:right w:w="0" w:type="dxa"/>
          </w:tblCellMar>
        </w:tblPrEx>
        <w:trPr>
          <w:trHeight w:val="645" w:hRule="atLeast"/>
        </w:trPr>
        <w:tc>
          <w:tcPr>
            <w:tcW w:w="13988" w:type="dxa"/>
            <w:gridSpan w:val="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注：本表反映部门本年度政府性基金预算财政拨款收入、支出及结转和结余情况。</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spacing w:line="590" w:lineRule="exact"/>
        <w:jc w:val="left"/>
        <w:rPr>
          <w:rFonts w:hint="eastAsia" w:ascii="仿宋_GB2312" w:hAnsi="仿宋_GB2312" w:eastAsia="仿宋_GB2312" w:cs="仿宋_GB2312"/>
          <w:sz w:val="32"/>
          <w:szCs w:val="32"/>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2018年度部门决算情况说明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autoSpaceDE w:val="0"/>
        <w:autoSpaceDN w:val="0"/>
        <w:adjustRightInd w:val="0"/>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27,334.88</w:t>
      </w:r>
      <w:r>
        <w:rPr>
          <w:rFonts w:hint="eastAsia" w:ascii="仿宋_GB2312" w:hAnsi="仿宋_GB2312" w:eastAsia="仿宋_GB2312" w:cs="仿宋_GB2312"/>
          <w:sz w:val="32"/>
          <w:szCs w:val="32"/>
        </w:rPr>
        <w:t>万元。与上年度相比，收、支总计各减少1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964.27万元</w:t>
      </w:r>
      <w:r>
        <w:rPr>
          <w:rFonts w:hint="eastAsia" w:ascii="仿宋_GB2312" w:hAnsi="仿宋_GB2312" w:eastAsia="仿宋_GB2312" w:cs="仿宋_GB2312"/>
          <w:color w:val="000000"/>
          <w:sz w:val="32"/>
          <w:szCs w:val="32"/>
        </w:rPr>
        <w:t>，下降6.7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。主要原因是许昌市烈士陵园改扩建项目现已完工；</w:t>
      </w:r>
      <w:r>
        <w:rPr>
          <w:rFonts w:hint="eastAsia" w:ascii="仿宋_GB2312" w:hAnsi="仿宋_GB2312" w:eastAsia="仿宋_GB2312" w:cs="仿宋_GB2312"/>
          <w:sz w:val="32"/>
          <w:szCs w:val="32"/>
        </w:rPr>
        <w:t>许昌市老年综合福利大楼主体已完工。</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14,164.82</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13,530.86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95.5</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588.16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4.15%</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45.8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0.32%</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13,629.97</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3,464.42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25.42%</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10,165.55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74.58%</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黑体" w:hAnsi="黑体" w:eastAsia="黑体" w:cs="黑体"/>
          <w:sz w:val="32"/>
          <w:szCs w:val="32"/>
        </w:rPr>
        <w:t>四、财政拨款收入支出决算总体情况说明</w:t>
      </w:r>
    </w:p>
    <w:p>
      <w:pPr>
        <w:autoSpaceDE w:val="0"/>
        <w:autoSpaceDN w:val="0"/>
        <w:adjustRightInd w:val="0"/>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25,980.04</w:t>
      </w:r>
      <w:r>
        <w:rPr>
          <w:rFonts w:hint="eastAsia" w:ascii="仿宋_GB2312" w:hAnsi="仿宋_GB2312" w:eastAsia="仿宋_GB2312" w:cs="仿宋_GB2312"/>
          <w:sz w:val="32"/>
          <w:szCs w:val="32"/>
        </w:rPr>
        <w:t>万元。与上年度相比，财政拨款收、支总计各减少1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964.27万元，</w:t>
      </w:r>
      <w:r>
        <w:rPr>
          <w:rFonts w:hint="eastAsia" w:ascii="仿宋_GB2312" w:hAnsi="仿宋_GB2312" w:eastAsia="仿宋_GB2312" w:cs="仿宋_GB2312"/>
          <w:color w:val="000000"/>
          <w:sz w:val="32"/>
          <w:szCs w:val="32"/>
        </w:rPr>
        <w:t>下降6.7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。主要原因是许昌市烈士陵园改扩建项目现已完工；</w:t>
      </w:r>
      <w:r>
        <w:rPr>
          <w:rFonts w:hint="eastAsia" w:ascii="仿宋_GB2312" w:hAnsi="仿宋_GB2312" w:eastAsia="仿宋_GB2312" w:cs="仿宋_GB2312"/>
          <w:sz w:val="32"/>
          <w:szCs w:val="32"/>
        </w:rPr>
        <w:t>许昌市老年综合福利大楼主体已完工。</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autoSpaceDE w:val="0"/>
        <w:autoSpaceDN w:val="0"/>
        <w:adjustRightInd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6,838.2</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50.17%</w:t>
      </w:r>
      <w:r>
        <w:rPr>
          <w:rFonts w:hint="eastAsia" w:ascii="仿宋_GB2312" w:hAnsi="仿宋_GB2312" w:eastAsia="仿宋_GB2312" w:cs="仿宋_GB2312"/>
          <w:sz w:val="32"/>
          <w:szCs w:val="32"/>
        </w:rPr>
        <w:t>。与上年度相比，一般公共预算财政拨款支出减少1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342.6万元，下降16.41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000000"/>
          <w:sz w:val="32"/>
          <w:szCs w:val="32"/>
        </w:rPr>
        <w:t>许昌市烈士陵园改扩建项目现已完工；</w:t>
      </w:r>
      <w:r>
        <w:rPr>
          <w:rFonts w:hint="eastAsia" w:ascii="仿宋_GB2312" w:hAnsi="仿宋_GB2312" w:eastAsia="仿宋_GB2312" w:cs="仿宋_GB2312"/>
          <w:sz w:val="32"/>
          <w:szCs w:val="32"/>
        </w:rPr>
        <w:t>许昌市老年综合福利大楼主体已完工。</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ind w:firstLine="640" w:firstLineChars="200"/>
        <w:rPr>
          <w:rFonts w:hint="eastAsia" w:ascii="宋体" w:hAnsi="宋体" w:cs="Arial"/>
          <w:color w:val="000000"/>
          <w:sz w:val="22"/>
        </w:rPr>
      </w:pPr>
      <w:r>
        <w:rPr>
          <w:rFonts w:hint="eastAsia" w:ascii="仿宋_GB2312" w:hAnsi="仿宋_GB2312" w:eastAsia="仿宋_GB2312" w:cs="仿宋_GB2312"/>
          <w:sz w:val="32"/>
          <w:szCs w:val="32"/>
        </w:rPr>
        <w:t>2018年度一般公共预算财政拨款支出</w:t>
      </w:r>
      <w:r>
        <w:rPr>
          <w:rFonts w:ascii="仿宋_GB2312" w:hAnsi="仿宋_GB2312" w:eastAsia="仿宋_GB2312" w:cs="仿宋_GB2312"/>
          <w:sz w:val="32"/>
          <w:szCs w:val="32"/>
        </w:rPr>
        <w:t>6,838.2</w:t>
      </w:r>
      <w:r>
        <w:rPr>
          <w:rFonts w:hint="eastAsia" w:ascii="仿宋_GB2312" w:hAnsi="仿宋_GB2312" w:eastAsia="仿宋_GB2312" w:cs="仿宋_GB2312"/>
          <w:sz w:val="32"/>
          <w:szCs w:val="32"/>
        </w:rPr>
        <w:t>万元，主要用于以下方面：社会保障和就业支出（类）支出</w:t>
      </w:r>
      <w:r>
        <w:rPr>
          <w:rFonts w:ascii="仿宋_GB2312" w:hAnsi="仿宋_GB2312" w:eastAsia="仿宋_GB2312" w:cs="仿宋_GB2312"/>
          <w:sz w:val="32"/>
          <w:szCs w:val="32"/>
        </w:rPr>
        <w:t>6,83</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81万元，占99.92%；医疗卫生与计划生育（类）支出5.39万元，占0.08%。</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007.15万元，支出决算为</w:t>
      </w:r>
      <w:r>
        <w:rPr>
          <w:rFonts w:ascii="仿宋_GB2312" w:hAnsi="仿宋_GB2312" w:eastAsia="仿宋_GB2312" w:cs="仿宋_GB2312"/>
          <w:sz w:val="32"/>
          <w:szCs w:val="32"/>
        </w:rPr>
        <w:t>6,838.2</w:t>
      </w:r>
      <w:r>
        <w:rPr>
          <w:rFonts w:hint="eastAsia" w:ascii="仿宋_GB2312" w:hAnsi="仿宋_GB2312" w:eastAsia="仿宋_GB2312" w:cs="仿宋_GB2312"/>
          <w:sz w:val="32"/>
          <w:szCs w:val="32"/>
        </w:rPr>
        <w:t>万元，完成年初预算的227.4%。其中：</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1．社会保障和就业支出（类）民政管理事务（款）行</w:t>
      </w:r>
      <w:r>
        <w:rPr>
          <w:rFonts w:hint="eastAsia" w:ascii="仿宋_GB2312" w:hAnsi="仿宋_GB2312" w:eastAsia="仿宋_GB2312" w:cs="仿宋_GB2312"/>
          <w:b/>
          <w:bCs/>
          <w:color w:val="000000"/>
          <w:sz w:val="32"/>
          <w:szCs w:val="32"/>
        </w:rPr>
        <w:t>政运行（项）。</w:t>
      </w:r>
      <w:r>
        <w:rPr>
          <w:rFonts w:hint="eastAsia" w:ascii="仿宋_GB2312" w:hAnsi="仿宋_GB2312" w:eastAsia="仿宋_GB2312" w:cs="仿宋_GB2312"/>
          <w:color w:val="000000"/>
          <w:sz w:val="32"/>
          <w:szCs w:val="32"/>
        </w:rPr>
        <w:t>年初预算为725.36万元，支出决算为816.45万元，完成年初预算的112.56%。决算数与年初预算数存在差异的主要原因是该项经费年初有上年结转结余资金。</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2．社会保障和就业支出（类）民政管理事务（款）一般行政管理事务（项）。</w:t>
      </w:r>
      <w:r>
        <w:rPr>
          <w:rFonts w:hint="eastAsia" w:ascii="仿宋_GB2312" w:hAnsi="仿宋_GB2312" w:eastAsia="仿宋_GB2312" w:cs="仿宋_GB2312"/>
          <w:sz w:val="32"/>
          <w:szCs w:val="32"/>
        </w:rPr>
        <w:t>年初预算为58万元，支出决</w:t>
      </w:r>
      <w:r>
        <w:rPr>
          <w:rFonts w:hint="eastAsia" w:ascii="仿宋_GB2312" w:hAnsi="仿宋_GB2312" w:eastAsia="仿宋_GB2312" w:cs="仿宋_GB2312"/>
          <w:color w:val="000000"/>
          <w:sz w:val="32"/>
          <w:szCs w:val="32"/>
        </w:rPr>
        <w:t>算为140.76万元，完成年初预算的242.69%。决算数与年初预算数存在差异的主要原因是该项经费年初有上年结转结余资金和按照进度支付的工作经费余款。</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3．社会保障和就业支出（类）民政管理事务（款）拥军优属（项）。</w:t>
      </w:r>
      <w:r>
        <w:rPr>
          <w:rFonts w:hint="eastAsia" w:ascii="仿宋_GB2312" w:hAnsi="仿宋_GB2312" w:eastAsia="仿宋_GB2312" w:cs="仿宋_GB2312"/>
          <w:sz w:val="32"/>
          <w:szCs w:val="32"/>
        </w:rPr>
        <w:t>年初预算为44万元，支出决算为117.42</w:t>
      </w:r>
      <w:r>
        <w:rPr>
          <w:rFonts w:hint="eastAsia" w:ascii="仿宋_GB2312" w:hAnsi="仿宋_GB2312" w:eastAsia="仿宋_GB2312" w:cs="仿宋_GB2312"/>
          <w:color w:val="000000"/>
          <w:sz w:val="32"/>
          <w:szCs w:val="32"/>
        </w:rPr>
        <w:t>万元，完成年初预算的266.86%。决算数与年初预算数存在差异的主要原因是该项经费年初有上年结转结余资金。</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4．社会保障和就业支出（类）民政管理事务（款）老龄事务（项）。</w:t>
      </w:r>
      <w:r>
        <w:rPr>
          <w:rFonts w:hint="eastAsia" w:ascii="仿宋_GB2312" w:hAnsi="仿宋_GB2312" w:eastAsia="仿宋_GB2312" w:cs="仿宋_GB2312"/>
          <w:sz w:val="32"/>
          <w:szCs w:val="32"/>
        </w:rPr>
        <w:t>年初预算为10万元，支出决算为13.47万元，完成年初预算的134.7%。</w:t>
      </w:r>
      <w:r>
        <w:rPr>
          <w:rFonts w:hint="eastAsia" w:ascii="仿宋_GB2312" w:hAnsi="仿宋_GB2312" w:eastAsia="仿宋_GB2312" w:cs="仿宋_GB2312"/>
          <w:color w:val="000000"/>
          <w:sz w:val="32"/>
          <w:szCs w:val="32"/>
        </w:rPr>
        <w:t>决算数与年初预算数存在差异的主要原因是该项经费年初有上年结转结余资金。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5.就业支出（类）民政管理事务（款）行政区划和地名管理（项）。</w:t>
      </w:r>
      <w:r>
        <w:rPr>
          <w:rFonts w:hint="eastAsia" w:ascii="仿宋_GB2312" w:hAnsi="仿宋_GB2312" w:eastAsia="仿宋_GB2312" w:cs="仿宋_GB2312"/>
          <w:sz w:val="32"/>
          <w:szCs w:val="32"/>
        </w:rPr>
        <w:t>年初预算为0万元，支出决算为5.77万元</w:t>
      </w:r>
      <w:r>
        <w:rPr>
          <w:rFonts w:hint="eastAsia" w:ascii="仿宋_GB2312" w:hAnsi="仿宋_GB2312" w:eastAsia="仿宋_GB2312" w:cs="仿宋_GB2312"/>
          <w:color w:val="000000"/>
          <w:sz w:val="32"/>
          <w:szCs w:val="32"/>
        </w:rPr>
        <w:t>。决算数与年初预算数存在差异的主要原因是该项经费年初无预算，年初有上年结转结余资金。</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6．社会保障和就业支出（类）民政管理事务（款）基层政权和社区建设（项）。</w:t>
      </w:r>
      <w:r>
        <w:rPr>
          <w:rFonts w:hint="eastAsia" w:ascii="仿宋_GB2312" w:hAnsi="仿宋_GB2312" w:eastAsia="仿宋_GB2312" w:cs="仿宋_GB2312"/>
          <w:color w:val="000000"/>
          <w:sz w:val="32"/>
          <w:szCs w:val="32"/>
        </w:rPr>
        <w:t>年初预算为0万元，支出决算为13.54万元。决算数与年初预算数存在差异的主要原因是该项经费年初无预算，年初有上年结转结余资金。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7．社会保障和就业支出（类）民政管理事务（款）其他民政管理事务支出（项）。</w:t>
      </w:r>
      <w:r>
        <w:rPr>
          <w:rFonts w:hint="eastAsia" w:ascii="仿宋_GB2312" w:hAnsi="仿宋_GB2312" w:eastAsia="仿宋_GB2312" w:cs="仿宋_GB2312"/>
          <w:sz w:val="32"/>
          <w:szCs w:val="32"/>
        </w:rPr>
        <w:t xml:space="preserve">年初预算为51万元，支出决算为88.09万元，完成年初预算的172.73%。决算数与年初预算数存在差异的主要原因是该项经费年初有上年结转结余资金。 </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8．社会保障和就业支出（类）行政事业单位离退休（款）归口管理的行政单位离退休（项）。</w:t>
      </w:r>
      <w:r>
        <w:rPr>
          <w:rFonts w:hint="eastAsia" w:ascii="仿宋_GB2312" w:hAnsi="仿宋_GB2312" w:eastAsia="仿宋_GB2312" w:cs="仿宋_GB2312"/>
          <w:sz w:val="32"/>
          <w:szCs w:val="32"/>
        </w:rPr>
        <w:t>年初预算为176.94万</w:t>
      </w:r>
      <w:r>
        <w:rPr>
          <w:rFonts w:hint="eastAsia" w:ascii="仿宋_GB2312" w:hAnsi="仿宋_GB2312" w:eastAsia="仿宋_GB2312" w:cs="仿宋_GB2312"/>
          <w:color w:val="000000"/>
          <w:sz w:val="32"/>
          <w:szCs w:val="32"/>
        </w:rPr>
        <w:t>元，支出决算为253.26万元，完成年初预算的143.13%。决算数与年初预算数存在差异的主要原因是</w:t>
      </w:r>
      <w:r>
        <w:rPr>
          <w:rFonts w:hint="eastAsia" w:ascii="仿宋_GB2312" w:hAnsi="仿宋_GB2312" w:eastAsia="仿宋_GB2312" w:cs="仿宋_GB2312"/>
          <w:sz w:val="32"/>
          <w:szCs w:val="32"/>
        </w:rPr>
        <w:t xml:space="preserve">该项经费年初有上年结转结余资金。 </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9．社会保障和就业支出（类）行政事业单位离退休（款）事业单位离退休（项）。</w:t>
      </w:r>
      <w:r>
        <w:rPr>
          <w:rFonts w:hint="eastAsia" w:ascii="仿宋_GB2312" w:hAnsi="仿宋_GB2312" w:eastAsia="仿宋_GB2312" w:cs="仿宋_GB2312"/>
          <w:sz w:val="32"/>
          <w:szCs w:val="32"/>
        </w:rPr>
        <w:t>年初预算</w:t>
      </w:r>
      <w:r>
        <w:rPr>
          <w:rFonts w:hint="eastAsia" w:ascii="仿宋_GB2312" w:hAnsi="仿宋_GB2312" w:eastAsia="仿宋_GB2312" w:cs="仿宋_GB2312"/>
          <w:color w:val="000000"/>
          <w:sz w:val="32"/>
          <w:szCs w:val="32"/>
        </w:rPr>
        <w:t>为122.81万元，支出决算为169.34万元，完成年初预算的137.89%。决算数与年初预算数存在差异的主要原因是上年结转结余的有人员经费。</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10．社会保障和就业支出（类）抚恤（款）优抚事业单位支出（项）。</w:t>
      </w:r>
      <w:r>
        <w:rPr>
          <w:rFonts w:hint="eastAsia" w:ascii="仿宋_GB2312" w:hAnsi="仿宋_GB2312" w:eastAsia="仿宋_GB2312" w:cs="仿宋_GB2312"/>
          <w:color w:val="000000"/>
          <w:sz w:val="32"/>
          <w:szCs w:val="32"/>
        </w:rPr>
        <w:t>年初预算为120.64万元</w:t>
      </w:r>
      <w:r>
        <w:rPr>
          <w:rFonts w:hint="eastAsia" w:ascii="仿宋_GB2312" w:hAnsi="仿宋_GB2312" w:eastAsia="仿宋_GB2312" w:cs="仿宋_GB2312"/>
          <w:sz w:val="32"/>
          <w:szCs w:val="32"/>
        </w:rPr>
        <w:t>，支出决算为436.13万元，完成年初预</w:t>
      </w:r>
      <w:r>
        <w:rPr>
          <w:rFonts w:hint="eastAsia" w:ascii="仿宋_GB2312" w:hAnsi="仿宋_GB2312" w:eastAsia="仿宋_GB2312" w:cs="仿宋_GB2312"/>
          <w:color w:val="000000"/>
          <w:sz w:val="32"/>
          <w:szCs w:val="32"/>
        </w:rPr>
        <w:t>算的361.51%。决算数与年初预算数存在差异的主要原因是上年结转结余资金。</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11．社会保障和就业支出（类）抚恤（款）其他优抚支出（项）。</w:t>
      </w:r>
      <w:r>
        <w:rPr>
          <w:rFonts w:hint="eastAsia" w:ascii="仿宋_GB2312" w:hAnsi="仿宋_GB2312" w:eastAsia="仿宋_GB2312" w:cs="仿宋_GB2312"/>
          <w:sz w:val="32"/>
          <w:szCs w:val="32"/>
        </w:rPr>
        <w:t>年初预算为0万元，支出决算为149.79万元，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12．社会</w:t>
      </w:r>
      <w:r>
        <w:rPr>
          <w:rFonts w:hint="eastAsia" w:ascii="仿宋_GB2312" w:hAnsi="仿宋_GB2312" w:eastAsia="仿宋_GB2312" w:cs="仿宋_GB2312"/>
          <w:b/>
          <w:bCs/>
          <w:sz w:val="32"/>
          <w:szCs w:val="32"/>
        </w:rPr>
        <w:t>保障和就业支出（类）退役安置（款）退役士兵安置（项）。</w:t>
      </w:r>
      <w:r>
        <w:rPr>
          <w:rFonts w:hint="eastAsia" w:ascii="仿宋_GB2312" w:hAnsi="仿宋_GB2312" w:eastAsia="仿宋_GB2312" w:cs="仿宋_GB2312"/>
          <w:sz w:val="32"/>
          <w:szCs w:val="32"/>
        </w:rPr>
        <w:t>年初预算为0万元，支出决算为66.57万元，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 xml:space="preserve">年初有上年结转结余资金。 </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13．社会</w:t>
      </w:r>
      <w:r>
        <w:rPr>
          <w:rFonts w:hint="eastAsia" w:ascii="仿宋_GB2312" w:hAnsi="仿宋_GB2312" w:eastAsia="仿宋_GB2312" w:cs="仿宋_GB2312"/>
          <w:b/>
          <w:bCs/>
          <w:sz w:val="32"/>
          <w:szCs w:val="32"/>
        </w:rPr>
        <w:t>保障和就业支出（类）退役安置（款）军队移交政府的离退休人员安置（项）。</w:t>
      </w:r>
      <w:r>
        <w:rPr>
          <w:rFonts w:hint="eastAsia" w:ascii="仿宋_GB2312" w:hAnsi="仿宋_GB2312" w:eastAsia="仿宋_GB2312" w:cs="仿宋_GB2312"/>
          <w:color w:val="000000"/>
          <w:sz w:val="32"/>
          <w:szCs w:val="32"/>
        </w:rPr>
        <w:t>年初预算为0万元，支出决算为626.6万元。决算数与年初预算数存在差异的主要原因是许昌市军队离退休干部第一休养所及军队离退休干部第二休养所年初不做部门预算。</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14．社会</w:t>
      </w:r>
      <w:r>
        <w:rPr>
          <w:rFonts w:hint="eastAsia" w:ascii="仿宋_GB2312" w:hAnsi="仿宋_GB2312" w:eastAsia="仿宋_GB2312" w:cs="仿宋_GB2312"/>
          <w:b/>
          <w:bCs/>
          <w:sz w:val="32"/>
          <w:szCs w:val="32"/>
        </w:rPr>
        <w:t>保障和就业支出（类）退役安置（款）军队移交政府离退休干部管理机构（项）。</w:t>
      </w:r>
      <w:r>
        <w:rPr>
          <w:rFonts w:hint="eastAsia" w:ascii="仿宋_GB2312" w:hAnsi="仿宋_GB2312" w:eastAsia="仿宋_GB2312" w:cs="仿宋_GB2312"/>
          <w:color w:val="000000"/>
          <w:sz w:val="32"/>
          <w:szCs w:val="32"/>
        </w:rPr>
        <w:t>年初预算为0万元，</w:t>
      </w:r>
      <w:r>
        <w:rPr>
          <w:rFonts w:hint="eastAsia" w:ascii="仿宋_GB2312" w:hAnsi="仿宋_GB2312" w:eastAsia="仿宋_GB2312" w:cs="仿宋_GB2312"/>
          <w:sz w:val="32"/>
          <w:szCs w:val="32"/>
        </w:rPr>
        <w:t>支出决算为138.03万元</w:t>
      </w:r>
      <w:r>
        <w:rPr>
          <w:rFonts w:hint="eastAsia" w:ascii="仿宋_GB2312" w:hAnsi="仿宋_GB2312" w:eastAsia="仿宋_GB2312" w:cs="仿宋_GB2312"/>
          <w:color w:val="000000"/>
          <w:sz w:val="32"/>
          <w:szCs w:val="32"/>
        </w:rPr>
        <w:t>。决算数与年初预算数存在差异的主要原因是许昌市军队离退休干部第一休养所及军队离退休干部第二休养所年初不做部门预算。</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15．社会保障和就业支出（类）退役安置（款）退役士兵管理教育（项）。</w:t>
      </w:r>
      <w:r>
        <w:rPr>
          <w:rFonts w:hint="eastAsia" w:ascii="仿宋_GB2312" w:hAnsi="仿宋_GB2312" w:eastAsia="仿宋_GB2312" w:cs="仿宋_GB2312"/>
          <w:sz w:val="32"/>
          <w:szCs w:val="32"/>
        </w:rPr>
        <w:t>年初预算为0万元，支出决算为59.14万元</w:t>
      </w:r>
      <w:r>
        <w:rPr>
          <w:rFonts w:hint="eastAsia" w:ascii="仿宋_GB2312" w:hAnsi="仿宋_GB2312" w:eastAsia="仿宋_GB2312" w:cs="仿宋_GB2312"/>
          <w:color w:val="000000"/>
          <w:sz w:val="32"/>
          <w:szCs w:val="32"/>
        </w:rPr>
        <w:t>决算数与年初预算数存在差异的主要原因是无预算，</w:t>
      </w:r>
      <w:r>
        <w:rPr>
          <w:rFonts w:hint="eastAsia" w:ascii="仿宋_GB2312" w:hAnsi="仿宋_GB2312" w:eastAsia="仿宋_GB2312" w:cs="仿宋_GB2312"/>
          <w:sz w:val="32"/>
          <w:szCs w:val="32"/>
        </w:rPr>
        <w:t xml:space="preserve">年初有上年结转结余资金。 </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16．社会保障和就业支出（类）退役安置（款）其他退役安置支出（项）。</w:t>
      </w:r>
      <w:r>
        <w:rPr>
          <w:rFonts w:hint="eastAsia" w:ascii="仿宋_GB2312" w:hAnsi="仿宋_GB2312" w:eastAsia="仿宋_GB2312" w:cs="仿宋_GB2312"/>
          <w:color w:val="000000"/>
          <w:sz w:val="32"/>
          <w:szCs w:val="32"/>
        </w:rPr>
        <w:t>年初预算为0万元，支出决算为774.6万元。决算数与年初预算数存在差异的主要原因是许昌市军队离退休干部第一休养所及军队离退休干部第二休养所年初不做部门预算。</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17.社会保障和就业支出（类）社会福利（款）儿童福利（项）。</w:t>
      </w:r>
      <w:r>
        <w:rPr>
          <w:rFonts w:hint="eastAsia" w:ascii="仿宋_GB2312" w:hAnsi="仿宋_GB2312" w:eastAsia="仿宋_GB2312" w:cs="仿宋_GB2312"/>
          <w:sz w:val="32"/>
          <w:szCs w:val="32"/>
        </w:rPr>
        <w:t>年初预算为260.3万元，支出决算为137.65万元，完成年初预算的52.88%。决算数与年初预算数存在差异的主要原因是许昌市社会福利院资金拨付到位晚，未及时支出。</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18．社会保障和就业支出（类）社会福利（款）老年福利（项）。</w:t>
      </w:r>
      <w:r>
        <w:rPr>
          <w:rFonts w:hint="eastAsia" w:ascii="仿宋_GB2312" w:hAnsi="仿宋_GB2312" w:eastAsia="仿宋_GB2312" w:cs="仿宋_GB2312"/>
          <w:sz w:val="32"/>
          <w:szCs w:val="32"/>
        </w:rPr>
        <w:t>年初预算为0万元，支出决算为8.18万元。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19．社会保障和就业支出（类）社会福利（款）殡葬（项）。</w:t>
      </w:r>
      <w:r>
        <w:rPr>
          <w:rFonts w:hint="eastAsia" w:ascii="仿宋_GB2312" w:hAnsi="仿宋_GB2312" w:eastAsia="仿宋_GB2312" w:cs="仿宋_GB2312"/>
          <w:color w:val="000000"/>
          <w:sz w:val="32"/>
          <w:szCs w:val="32"/>
        </w:rPr>
        <w:t>年初预算为109.27万元，支出决算为183.22万元，完成年初预算的167.68%。决算数与年初预算数存在差异的主要原因是许昌市殡葬管理所</w:t>
      </w:r>
      <w:r>
        <w:rPr>
          <w:rFonts w:hint="eastAsia" w:ascii="仿宋_GB2312" w:hAnsi="宋体" w:eastAsia="仿宋_GB2312" w:cs="Courier New"/>
          <w:color w:val="000000"/>
          <w:sz w:val="32"/>
          <w:szCs w:val="32"/>
        </w:rPr>
        <w:t>单位人员增资调整和各项社会保险基数调整增加及许昌市殡仪馆</w:t>
      </w:r>
      <w:r>
        <w:rPr>
          <w:rFonts w:hint="eastAsia" w:ascii="仿宋_GB2312" w:hAnsi="仿宋_GB2312" w:eastAsia="仿宋_GB2312" w:cs="仿宋_GB2312"/>
          <w:color w:val="000000"/>
          <w:sz w:val="32"/>
          <w:szCs w:val="32"/>
        </w:rPr>
        <w:t>是用拨回的殡葬减免费用支出工资、社保、公用经费及设备购置等。</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20．社会保障和就业支出（类）社会福利（款）社会福利事业单位（项）。</w:t>
      </w:r>
      <w:r>
        <w:rPr>
          <w:rFonts w:hint="eastAsia" w:ascii="仿宋_GB2312" w:hAnsi="仿宋_GB2312" w:eastAsia="仿宋_GB2312" w:cs="仿宋_GB2312"/>
          <w:color w:val="000000"/>
          <w:sz w:val="32"/>
          <w:szCs w:val="32"/>
        </w:rPr>
        <w:t>年初预算为1016.74万元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color w:val="000000"/>
          <w:sz w:val="32"/>
          <w:szCs w:val="32"/>
        </w:rPr>
        <w:t>1248.13万元，完成年初预算的122.76%。决算数与年初预算数存在差异的主要原因是年初有上年结转结余资金。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21．社会保障和就业支出（类）社会福利（款）其他社会福利支出（项）。</w:t>
      </w:r>
      <w:r>
        <w:rPr>
          <w:rFonts w:hint="eastAsia" w:ascii="仿宋_GB2312" w:hAnsi="仿宋_GB2312" w:eastAsia="仿宋_GB2312" w:cs="仿宋_GB2312"/>
          <w:color w:val="000000"/>
          <w:sz w:val="32"/>
          <w:szCs w:val="32"/>
        </w:rPr>
        <w:t>年初预算为0万元，支出决算为196.34万元。决算数与年初预算数存在差异的主要原因是年初无预算，</w:t>
      </w:r>
      <w:r>
        <w:rPr>
          <w:rFonts w:hint="eastAsia" w:ascii="仿宋_GB2312" w:hAnsi="仿宋_GB2312" w:eastAsia="仿宋_GB2312" w:cs="仿宋_GB2312"/>
          <w:sz w:val="32"/>
          <w:szCs w:val="32"/>
        </w:rPr>
        <w:t xml:space="preserve">有上年结转结余资金。 </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22．社会保障和就业支出（类）残疾人事业（款）其他残疾人事业支出（项）。</w:t>
      </w:r>
      <w:r>
        <w:rPr>
          <w:rFonts w:hint="eastAsia" w:ascii="仿宋_GB2312" w:hAnsi="仿宋_GB2312" w:eastAsia="仿宋_GB2312" w:cs="仿宋_GB2312"/>
          <w:color w:val="000000"/>
          <w:sz w:val="32"/>
          <w:szCs w:val="32"/>
        </w:rPr>
        <w:t>年初预算为0万元，支出决算为10万元。决算数与年初预算数存在差异的主要原因年初无预算，</w:t>
      </w:r>
      <w:r>
        <w:rPr>
          <w:rFonts w:hint="eastAsia" w:ascii="仿宋_GB2312" w:hAnsi="仿宋_GB2312" w:eastAsia="仿宋_GB2312" w:cs="仿宋_GB2312"/>
          <w:sz w:val="32"/>
          <w:szCs w:val="32"/>
        </w:rPr>
        <w:t>有上年结转结余资金。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23．社会保</w:t>
      </w:r>
      <w:r>
        <w:rPr>
          <w:rFonts w:hint="eastAsia" w:ascii="仿宋_GB2312" w:hAnsi="仿宋_GB2312" w:eastAsia="仿宋_GB2312" w:cs="仿宋_GB2312"/>
          <w:b/>
          <w:bCs/>
          <w:sz w:val="32"/>
          <w:szCs w:val="32"/>
        </w:rPr>
        <w:t>障和就业支出（类）自然灾害生活救助（款）地方自然灾害生活补助（项）。</w:t>
      </w:r>
      <w:r>
        <w:rPr>
          <w:rFonts w:hint="eastAsia" w:ascii="仿宋_GB2312" w:hAnsi="仿宋_GB2312" w:eastAsia="仿宋_GB2312" w:cs="仿宋_GB2312"/>
          <w:sz w:val="32"/>
          <w:szCs w:val="32"/>
        </w:rPr>
        <w:t>年初预算为0万元，支出决算为60.95万元。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autoSpaceDE w:val="0"/>
        <w:autoSpaceDN w:val="0"/>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24．社会保障和就业支出（类）临时救助（款）临时救助支出（项）。</w:t>
      </w:r>
      <w:r>
        <w:rPr>
          <w:rFonts w:hint="eastAsia" w:ascii="仿宋_GB2312" w:hAnsi="仿宋_GB2312" w:eastAsia="仿宋_GB2312" w:cs="仿宋_GB2312"/>
          <w:color w:val="000000"/>
          <w:sz w:val="32"/>
          <w:szCs w:val="32"/>
        </w:rPr>
        <w:t>年初预算为0万元，支出决算为0万元</w:t>
      </w:r>
      <w:r>
        <w:rPr>
          <w:rFonts w:hint="eastAsia" w:ascii="仿宋_GB2312" w:hAnsi="仿宋_GB2312" w:eastAsia="仿宋_GB2312" w:cs="仿宋_GB2312"/>
          <w:sz w:val="32"/>
          <w:szCs w:val="32"/>
          <w:lang w:val="zh-CN"/>
        </w:rPr>
        <w:t>。决算数与年初预算数无差异</w:t>
      </w:r>
      <w:r>
        <w:rPr>
          <w:rFonts w:hint="eastAsia" w:ascii="仿宋_GB2312" w:hAnsi="仿宋_GB2312" w:eastAsia="仿宋_GB2312" w:cs="仿宋_GB2312"/>
          <w:sz w:val="32"/>
          <w:szCs w:val="32"/>
        </w:rPr>
        <w:t>。</w:t>
      </w:r>
    </w:p>
    <w:p>
      <w:pPr>
        <w:autoSpaceDE w:val="0"/>
        <w:autoSpaceDN w:val="0"/>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25．社会保障和就业支出（类）临时救助（款）流浪乞讨人员救助支出（项）。</w:t>
      </w:r>
      <w:r>
        <w:rPr>
          <w:rFonts w:hint="eastAsia" w:ascii="仿宋_GB2312" w:hAnsi="仿宋_GB2312" w:eastAsia="仿宋_GB2312" w:cs="仿宋_GB2312"/>
          <w:color w:val="000000"/>
          <w:sz w:val="32"/>
          <w:szCs w:val="32"/>
        </w:rPr>
        <w:t>年初预算为312.09万元，支出决算为823.86万元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rPr>
        <w:t>263.98</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。决算数与年初预算数存在差异的主要原因是许昌市救助管理站</w:t>
      </w:r>
      <w:r>
        <w:rPr>
          <w:rFonts w:hint="eastAsia" w:ascii="仿宋_GB2312" w:hAnsi="仿宋_GB2312" w:eastAsia="仿宋_GB2312" w:cs="仿宋_GB2312"/>
          <w:sz w:val="32"/>
          <w:szCs w:val="32"/>
        </w:rPr>
        <w:t>部门预算中的“上级下达专项补助资金”是分两次下拨，预算中含的是上半年的资金，未含下半年下拨的资金。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26．社会保障和就业支出（类）特困人员救助供养（款）城市特困人员救助供养支出（项）。</w:t>
      </w:r>
      <w:r>
        <w:rPr>
          <w:rFonts w:hint="eastAsia" w:ascii="仿宋_GB2312" w:hAnsi="仿宋_GB2312" w:eastAsia="仿宋_GB2312" w:cs="仿宋_GB2312"/>
          <w:sz w:val="32"/>
          <w:szCs w:val="32"/>
        </w:rPr>
        <w:t>年初预算为0万元，支出决算为35.23万元。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有上年结转结余资金及许昌市2018年7月出台特困人员救助供养细则，许昌市社会福利院2018年年底追加该项经费。</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27．社会保障和就业支出（类）其他社会保障和就业支出（款）其他社会保障和就业支出（项）。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color w:val="000000"/>
          <w:sz w:val="32"/>
          <w:szCs w:val="32"/>
        </w:rPr>
        <w:t>万元，支出决算为260.3万元。决算数与年初预算数存在差异的主要原因是年初无预算，</w:t>
      </w:r>
      <w:r>
        <w:rPr>
          <w:rFonts w:hint="eastAsia" w:ascii="仿宋_GB2312" w:hAnsi="仿宋_GB2312" w:eastAsia="仿宋_GB2312" w:cs="仿宋_GB2312"/>
          <w:sz w:val="32"/>
          <w:szCs w:val="32"/>
        </w:rPr>
        <w:t>有上年结转结余资金。</w:t>
      </w:r>
    </w:p>
    <w:p>
      <w:pPr>
        <w:widowControl/>
        <w:spacing w:line="59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28.医疗卫</w:t>
      </w:r>
      <w:r>
        <w:rPr>
          <w:rFonts w:hint="eastAsia" w:ascii="仿宋_GB2312" w:hAnsi="仿宋_GB2312" w:eastAsia="仿宋_GB2312" w:cs="仿宋_GB2312"/>
          <w:b/>
          <w:bCs/>
          <w:sz w:val="32"/>
          <w:szCs w:val="32"/>
        </w:rPr>
        <w:t>生与计划生育支出（类）优抚对象医疗（款）优抚对象医疗补助（项）。</w:t>
      </w:r>
      <w:r>
        <w:rPr>
          <w:rFonts w:hint="eastAsia" w:ascii="仿宋_GB2312" w:hAnsi="仿宋_GB2312" w:eastAsia="仿宋_GB2312" w:cs="仿宋_GB2312"/>
          <w:sz w:val="32"/>
          <w:szCs w:val="32"/>
        </w:rPr>
        <w:t>年初预算为0万元，支出决算为5.39万元，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w:t>
      </w:r>
      <w:r>
        <w:rPr>
          <w:rFonts w:ascii="仿宋_GB2312" w:hAnsi="仿宋_GB2312" w:eastAsia="仿宋_GB2312" w:cs="仿宋_GB2312"/>
          <w:sz w:val="32"/>
          <w:szCs w:val="32"/>
        </w:rPr>
        <w:t>2,844.84</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2,741.28</w:t>
      </w:r>
      <w:r>
        <w:rPr>
          <w:rFonts w:hint="eastAsia" w:ascii="仿宋_GB2312" w:hAnsi="仿宋_GB2312" w:eastAsia="仿宋_GB2312" w:cs="仿宋_GB2312"/>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奖励金；公用经费</w:t>
      </w:r>
      <w:r>
        <w:rPr>
          <w:rFonts w:ascii="仿宋_GB2312" w:hAnsi="仿宋_GB2312" w:eastAsia="仿宋_GB2312" w:cs="仿宋_GB2312"/>
          <w:sz w:val="32"/>
          <w:szCs w:val="32"/>
        </w:rPr>
        <w:t>103.56</w:t>
      </w:r>
      <w:r>
        <w:rPr>
          <w:rFonts w:hint="eastAsia" w:ascii="仿宋_GB2312" w:hAnsi="仿宋_GB2312" w:eastAsia="仿宋_GB2312" w:cs="仿宋_GB2312"/>
          <w:sz w:val="32"/>
          <w:szCs w:val="32"/>
        </w:rPr>
        <w:t>万元，主要包括：办公费、印刷费、水费、电费、邮电费、取暖费、差旅费、维修（护）费、培训费、公务接待费、专用材料费、劳务费、委托业务费、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年度</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三公</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经费财政拨款支出预算为15.17万</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rPr>
        <w:t>40.89</w:t>
      </w:r>
      <w:r>
        <w:rPr>
          <w:rFonts w:hint="eastAsia" w:ascii="仿宋_GB2312" w:hAnsi="仿宋_GB2312" w:eastAsia="仿宋_GB2312" w:cs="仿宋_GB2312"/>
          <w:sz w:val="32"/>
          <w:szCs w:val="32"/>
        </w:rPr>
        <w:t>万元，完成预算的269.55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经费支出决算数与预算数存在差异的主要原因是</w:t>
      </w:r>
      <w:r>
        <w:rPr>
          <w:rFonts w:hint="eastAsia" w:ascii="仿宋_GB2312" w:hAnsi="仿宋_GB2312" w:eastAsia="仿宋_GB2312" w:cs="仿宋_GB2312"/>
          <w:color w:val="000000"/>
          <w:sz w:val="32"/>
          <w:szCs w:val="32"/>
        </w:rPr>
        <w:t>许昌市军队离退休干部第一休养所及军队离退休干部第二休养所年初不做部门预算</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autoSpaceDE w:val="0"/>
        <w:autoSpaceDN w:val="0"/>
        <w:adjustRightInd w:val="0"/>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年度</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三公</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经费财政拨款支出决算中，因公出国（境）费支出决算</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；公务用车购置及运行费支出决算</w:t>
      </w:r>
      <w:r>
        <w:rPr>
          <w:rFonts w:ascii="仿宋_GB2312" w:hAnsi="仿宋_GB2312" w:eastAsia="仿宋_GB2312" w:cs="仿宋_GB2312"/>
          <w:color w:val="000000"/>
          <w:sz w:val="32"/>
          <w:szCs w:val="32"/>
        </w:rPr>
        <w:t>37.52</w:t>
      </w:r>
      <w:r>
        <w:rPr>
          <w:rFonts w:hint="eastAsia" w:ascii="仿宋_GB2312" w:hAnsi="仿宋_GB2312" w:eastAsia="仿宋_GB2312" w:cs="仿宋_GB2312"/>
          <w:color w:val="000000"/>
          <w:sz w:val="32"/>
          <w:szCs w:val="32"/>
        </w:rPr>
        <w:t>万元，完成预算的341.09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，占</w:t>
      </w:r>
      <w:r>
        <w:rPr>
          <w:rFonts w:ascii="仿宋_GB2312" w:hAnsi="仿宋_GB2312" w:eastAsia="仿宋_GB2312" w:cs="仿宋_GB2312"/>
          <w:color w:val="000000"/>
          <w:sz w:val="32"/>
          <w:szCs w:val="32"/>
        </w:rPr>
        <w:t>91.74%</w:t>
      </w:r>
      <w:r>
        <w:rPr>
          <w:rFonts w:hint="eastAsia" w:ascii="仿宋_GB2312" w:hAnsi="仿宋_GB2312" w:eastAsia="仿宋_GB2312" w:cs="仿宋_GB2312"/>
          <w:color w:val="000000"/>
          <w:sz w:val="32"/>
          <w:szCs w:val="32"/>
        </w:rPr>
        <w:t>；公务接待费支出决算</w:t>
      </w: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万元，完成预算的62.35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，占</w:t>
      </w:r>
      <w:r>
        <w:rPr>
          <w:rFonts w:ascii="仿宋_GB2312" w:hAnsi="仿宋_GB2312" w:eastAsia="仿宋_GB2312" w:cs="仿宋_GB2312"/>
          <w:color w:val="000000"/>
          <w:sz w:val="32"/>
          <w:szCs w:val="32"/>
        </w:rPr>
        <w:t>6.35%</w:t>
      </w:r>
      <w:r>
        <w:rPr>
          <w:rFonts w:hint="eastAsia" w:ascii="仿宋_GB2312" w:hAnsi="仿宋_GB2312" w:eastAsia="仿宋_GB2312" w:cs="仿宋_GB2312"/>
          <w:color w:val="000000"/>
          <w:sz w:val="32"/>
          <w:szCs w:val="32"/>
        </w:rPr>
        <w:t>。具体情况如下：</w:t>
      </w:r>
    </w:p>
    <w:p>
      <w:pPr>
        <w:autoSpaceDE w:val="0"/>
        <w:autoSpaceDN w:val="0"/>
        <w:adjustRightInd w:val="0"/>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1．因公出国（境）费</w:t>
      </w:r>
      <w:r>
        <w:rPr>
          <w:rFonts w:hint="eastAsia" w:ascii="仿宋_GB2312" w:hAnsi="仿宋_GB2312" w:eastAsia="仿宋_GB2312" w:cs="仿宋_GB2312"/>
          <w:color w:val="000000"/>
          <w:sz w:val="32"/>
          <w:szCs w:val="32"/>
        </w:rPr>
        <w:t>年初预算为0万元，支出决算为</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万元。决算数与年初预算数存在差异的主要原因是许昌市社会福利院合作基金会组织培训，该项目负责人应邀参加。全年因公出国（境）团组</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个，累计</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人次。开支内容包括：住宿费、伙食费、往返路费。</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2．公务用车购置及运行费年</w:t>
      </w:r>
      <w:r>
        <w:rPr>
          <w:rFonts w:hint="eastAsia" w:ascii="仿宋_GB2312" w:hAnsi="仿宋_GB2312" w:eastAsia="仿宋_GB2312" w:cs="仿宋_GB2312"/>
          <w:color w:val="000000"/>
          <w:sz w:val="32"/>
          <w:szCs w:val="32"/>
        </w:rPr>
        <w:t>初预算为11万元，支出决算为</w:t>
      </w:r>
      <w:r>
        <w:rPr>
          <w:rFonts w:ascii="仿宋_GB2312" w:hAnsi="仿宋_GB2312" w:eastAsia="仿宋_GB2312" w:cs="仿宋_GB2312"/>
          <w:color w:val="000000"/>
          <w:sz w:val="32"/>
          <w:szCs w:val="32"/>
        </w:rPr>
        <w:t>37.52</w:t>
      </w:r>
      <w:r>
        <w:rPr>
          <w:rFonts w:hint="eastAsia" w:ascii="仿宋_GB2312" w:hAnsi="仿宋_GB2312" w:eastAsia="仿宋_GB2312" w:cs="仿宋_GB2312"/>
          <w:color w:val="000000"/>
          <w:sz w:val="32"/>
          <w:szCs w:val="32"/>
        </w:rPr>
        <w:t>万元，完成年初预算的341.09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。决算数与年初预算数存在差异的主要原因是许昌市军队离退休干部第一休养所及军队离退休干部第二休养所年初不做部门预算，但有支出。其中：</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公务用车购置支出</w:t>
      </w:r>
      <w:r>
        <w:rPr>
          <w:rFonts w:hint="eastAsia" w:ascii="仿宋_GB2312" w:hAnsi="仿宋_GB2312" w:eastAsia="仿宋_GB2312" w:cs="仿宋_GB2312"/>
          <w:color w:val="000000"/>
          <w:sz w:val="32"/>
          <w:szCs w:val="32"/>
        </w:rPr>
        <w:t>为0万元，购置车辆0辆。</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公务用车运行支出</w:t>
      </w:r>
      <w:r>
        <w:rPr>
          <w:rFonts w:hint="eastAsia" w:ascii="仿宋_GB2312" w:hAnsi="仿宋_GB2312" w:eastAsia="仿宋_GB2312" w:cs="仿宋_GB2312"/>
          <w:color w:val="000000"/>
          <w:sz w:val="32"/>
          <w:szCs w:val="32"/>
        </w:rPr>
        <w:t xml:space="preserve">11万元。主要用于车辆保险、汽油，过路费、车辆维修费。2018年期末，部门开支财政拨款的公务用车保有量为15辆。 </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3.公务接待费</w:t>
      </w:r>
      <w:r>
        <w:rPr>
          <w:rFonts w:hint="eastAsia" w:ascii="仿宋_GB2312" w:hAnsi="仿宋_GB2312" w:eastAsia="仿宋_GB2312" w:cs="仿宋_GB2312"/>
          <w:color w:val="000000"/>
          <w:sz w:val="32"/>
          <w:szCs w:val="32"/>
        </w:rPr>
        <w:t>年初预算为4.17万元，支出决算为2.6万元，完成年初预算的62.35%。决算数与年初预算数存在差异的主要原因是</w:t>
      </w:r>
      <w:r>
        <w:rPr>
          <w:rFonts w:hint="eastAsia" w:ascii="仿宋_GB2312" w:hAnsi="宋体" w:eastAsia="仿宋_GB2312" w:cs="Courier New"/>
          <w:color w:val="000000"/>
          <w:sz w:val="32"/>
          <w:szCs w:val="32"/>
        </w:rPr>
        <w:t>严格把关</w:t>
      </w:r>
      <w:r>
        <w:rPr>
          <w:rFonts w:hint="eastAsia" w:ascii="仿宋_GB2312" w:eastAsia="仿宋_GB2312"/>
          <w:color w:val="000000"/>
          <w:sz w:val="32"/>
          <w:szCs w:val="32"/>
        </w:rPr>
        <w:t>减少接待次数，严格按照公务接待制度执行。</w:t>
      </w:r>
      <w:r>
        <w:rPr>
          <w:rFonts w:hint="eastAsia" w:ascii="仿宋_GB2312" w:hAnsi="仿宋_GB2312" w:eastAsia="仿宋_GB2312" w:cs="仿宋_GB2312"/>
          <w:color w:val="000000"/>
          <w:sz w:val="32"/>
          <w:szCs w:val="32"/>
        </w:rPr>
        <w:t>其中：</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外宾接待支出</w:t>
      </w:r>
      <w:r>
        <w:rPr>
          <w:rFonts w:hint="eastAsia" w:ascii="仿宋_GB2312" w:hAnsi="仿宋_GB2312" w:eastAsia="仿宋_GB2312" w:cs="仿宋_GB2312"/>
          <w:color w:val="000000"/>
          <w:sz w:val="32"/>
          <w:szCs w:val="32"/>
        </w:rPr>
        <w:t>0万元。2018年共接待国（境）外来访团组0个、来访外宾0人次（不包括陪同人员）。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其他国内公务接待支出</w:t>
      </w:r>
      <w:r>
        <w:rPr>
          <w:rFonts w:hint="eastAsia" w:ascii="仿宋_GB2312" w:hAnsi="仿宋_GB2312" w:eastAsia="仿宋_GB2312" w:cs="仿宋_GB2312"/>
          <w:color w:val="000000"/>
          <w:sz w:val="32"/>
          <w:szCs w:val="32"/>
        </w:rPr>
        <w:t>2.6万元。主要用于接待来我市学习考察我市养老及社区工作。2018年共接待国内来访团组28个、来宾276人次（不包括陪同人员）。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我部门未开展绩效管理工作。</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我部门未开展项目绩效自评。</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2018年度政府性基金预算财政拨款支出年初预算为0万元，支出决算为5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769.14万元。主要用于许昌市烈士陵园改扩建项目和许昌市老年综合福利大楼基建及许昌市精神卫生康复中心大楼，其中许昌市烈士陵园改扩建项目和许昌市老年综合福利大楼项目年末结转和结余资金数额较大，主要原因：许昌市烈士陵园改扩建项目还有部分尾款待支付、许昌市老年综合福利大楼未竣工及许昌市精神卫生康复中心大楼正在建设中。</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2018年度机关运行经费年初预算为</w:t>
      </w:r>
      <w:r>
        <w:rPr>
          <w:rFonts w:hint="eastAsia" w:ascii="仿宋_GB2312" w:hAnsi="仿宋_GB2312" w:eastAsia="仿宋_GB2312" w:cs="仿宋_GB2312"/>
          <w:color w:val="000000"/>
          <w:sz w:val="32"/>
          <w:szCs w:val="32"/>
        </w:rPr>
        <w:t>83.96</w:t>
      </w:r>
      <w:r>
        <w:rPr>
          <w:rFonts w:hint="eastAsia" w:ascii="仿宋_GB2312" w:hAnsi="仿宋_GB2312" w:eastAsia="仿宋_GB2312" w:cs="仿宋_GB2312"/>
          <w:sz w:val="32"/>
          <w:szCs w:val="32"/>
        </w:rPr>
        <w:t>万元，支出决算为72.36万元，完成年初预算的86.18%。决算数与年初预算数存在差异的主要原因是</w:t>
      </w:r>
      <w:r>
        <w:rPr>
          <w:rFonts w:hint="eastAsia" w:ascii="仿宋_GB2312" w:hAnsi="仿宋_GB2312" w:eastAsia="仿宋_GB2312" w:cs="仿宋_GB2312"/>
          <w:color w:val="000000"/>
          <w:sz w:val="32"/>
          <w:szCs w:val="32"/>
        </w:rPr>
        <w:t>办公经费支出减少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政府采购支出总额252.92万元，其中：政府采购货物支出132.23万元、政府采购工程支出0万元、政府采购服务支出120.69万元。授予中小企业合同金额252.92万元，占政府采购支出总额的100%，其中：授予小微企业合同金额252.92万元，占政府采购支出总额的100%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期末，我部门共有车辆22辆，其中：省级领导干部用车0辆、主要领导干部用车0辆、机要通信用车1辆、应急保障车4辆、执法执勤用车0辆、特种专业技术用车1辆、离退休干部用车2辆、其他用车14辆（业务用车11辆；一般公务用车3辆）；单位价值50万元以上通用设备1台（套），单位价值100万元以上专用设备1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278765"/>
              <wp:effectExtent l="0" t="0" r="0" b="0"/>
              <wp:wrapNone/>
              <wp:docPr id="2" name="文本框 6"/>
              <wp:cNvGraphicFramePr/>
              <a:graphic xmlns:a="http://schemas.openxmlformats.org/drawingml/2006/main">
                <a:graphicData uri="http://schemas.microsoft.com/office/word/2010/wordprocessingShape">
                  <wps:wsp>
                    <wps:cNvSpPr txBox="1"/>
                    <wps:spPr>
                      <a:xfrm>
                        <a:off x="0" y="0"/>
                        <a:ext cx="238125" cy="27876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21.95pt;width:18.75pt;mso-position-horizontal:center;mso-position-horizontal-relative:margin;mso-wrap-style:none;z-index:251660288;mso-width-relative:page;mso-height-relative:page;" filled="f" stroked="f" coordsize="21600,21600" o:gfxdata="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eX8q0gAAAAMBAAAPAAAAAAAAAAEAIAAAACIAAABk&#10;cnMvZG93bnJldi54bWxQSwECFAAUAAAACACHTuJAX9iYWtMBAAClAwAADgAAAAAAAAABACAAAAAh&#10;AQAAZHJzL2Uyb0RvYy54bWxQSwUGAAAAAAYABgBZAQAAZ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a:noFill/>
                      </a:ln>
                      <a:effectLst/>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1FrXRAAAAAwEAAA8AAAAAAAAAAQAgAAAAIgAA&#10;AGRycy9kb3ducmV2LnhtbFBLAQIUABQAAAAIAIdO4kBlusWO1gEAAKgDAAAOAAAAAAAAAAEAIAAA&#10;ACABAABkcnMvZTJvRG9jLnhtbFBLBQYAAAAABgAGAFkBAABo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8125" cy="278765"/>
              <wp:effectExtent l="0" t="0" r="0" b="0"/>
              <wp:wrapNone/>
              <wp:docPr id="3" name="文本框 7"/>
              <wp:cNvGraphicFramePr/>
              <a:graphic xmlns:a="http://schemas.openxmlformats.org/drawingml/2006/main">
                <a:graphicData uri="http://schemas.microsoft.com/office/word/2010/wordprocessingShape">
                  <wps:wsp>
                    <wps:cNvSpPr txBox="1"/>
                    <wps:spPr>
                      <a:xfrm>
                        <a:off x="0" y="0"/>
                        <a:ext cx="238125" cy="27876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21.95pt;width:18.75pt;mso-position-horizontal:center;mso-position-horizontal-relative:margin;mso-wrap-style:none;z-index:251661312;mso-width-relative:page;mso-height-relative:page;" filled="f" stroked="f" coordsize="21600,21600" o:gfxdata="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&#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eX8q0gAAAAMBAAAPAAAAAAAAAAEAIAAAACIAAABk&#10;cnMvZG93bnJldi54bWxQSwECFAAUAAAACACHTuJAa1cOgNMBAAClAwAADgAAAAAAAAABACAAAAAh&#10;AQAAZHJzL2Uyb0RvYy54bWxQSwUGAAAAAAYABgBZAQAAZ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8"/>
    <w:rsid w:val="000270E8"/>
    <w:rsid w:val="00057AFD"/>
    <w:rsid w:val="00076410"/>
    <w:rsid w:val="000A4CA6"/>
    <w:rsid w:val="000C073B"/>
    <w:rsid w:val="000E30C4"/>
    <w:rsid w:val="001003F8"/>
    <w:rsid w:val="00123A51"/>
    <w:rsid w:val="00134CDA"/>
    <w:rsid w:val="00144159"/>
    <w:rsid w:val="001513D8"/>
    <w:rsid w:val="00166D5C"/>
    <w:rsid w:val="001679A2"/>
    <w:rsid w:val="001718A8"/>
    <w:rsid w:val="00182842"/>
    <w:rsid w:val="001836F3"/>
    <w:rsid w:val="001905F2"/>
    <w:rsid w:val="001C490F"/>
    <w:rsid w:val="001D61B1"/>
    <w:rsid w:val="001F15F2"/>
    <w:rsid w:val="001F5040"/>
    <w:rsid w:val="002006EB"/>
    <w:rsid w:val="00203779"/>
    <w:rsid w:val="00236B4F"/>
    <w:rsid w:val="00241089"/>
    <w:rsid w:val="00245644"/>
    <w:rsid w:val="00253E9E"/>
    <w:rsid w:val="00260D70"/>
    <w:rsid w:val="00282C7F"/>
    <w:rsid w:val="00287811"/>
    <w:rsid w:val="002A6CAF"/>
    <w:rsid w:val="002B3F94"/>
    <w:rsid w:val="002B6145"/>
    <w:rsid w:val="002D25D7"/>
    <w:rsid w:val="002E59F4"/>
    <w:rsid w:val="002E6A86"/>
    <w:rsid w:val="00304D04"/>
    <w:rsid w:val="00305B88"/>
    <w:rsid w:val="00315FEB"/>
    <w:rsid w:val="0032635A"/>
    <w:rsid w:val="003710D9"/>
    <w:rsid w:val="00386FED"/>
    <w:rsid w:val="003B5C43"/>
    <w:rsid w:val="003E0A76"/>
    <w:rsid w:val="0042585F"/>
    <w:rsid w:val="0043237B"/>
    <w:rsid w:val="00440DDA"/>
    <w:rsid w:val="00442A98"/>
    <w:rsid w:val="00445CAC"/>
    <w:rsid w:val="00472E19"/>
    <w:rsid w:val="004768BD"/>
    <w:rsid w:val="00477703"/>
    <w:rsid w:val="004868F8"/>
    <w:rsid w:val="00487869"/>
    <w:rsid w:val="004B50F2"/>
    <w:rsid w:val="004D5275"/>
    <w:rsid w:val="004D5A57"/>
    <w:rsid w:val="004D7609"/>
    <w:rsid w:val="00507364"/>
    <w:rsid w:val="005366BC"/>
    <w:rsid w:val="00546F7C"/>
    <w:rsid w:val="00547BEA"/>
    <w:rsid w:val="00570629"/>
    <w:rsid w:val="005A0C2F"/>
    <w:rsid w:val="005B1AE2"/>
    <w:rsid w:val="00621B3B"/>
    <w:rsid w:val="006228C4"/>
    <w:rsid w:val="00622B36"/>
    <w:rsid w:val="00634C6D"/>
    <w:rsid w:val="006512DD"/>
    <w:rsid w:val="00656BEF"/>
    <w:rsid w:val="00656D75"/>
    <w:rsid w:val="00657E86"/>
    <w:rsid w:val="00673EF7"/>
    <w:rsid w:val="00687F28"/>
    <w:rsid w:val="0069449E"/>
    <w:rsid w:val="006A311E"/>
    <w:rsid w:val="006A562E"/>
    <w:rsid w:val="006B2EEE"/>
    <w:rsid w:val="006B3AB3"/>
    <w:rsid w:val="006C07F0"/>
    <w:rsid w:val="006C37D0"/>
    <w:rsid w:val="006C644A"/>
    <w:rsid w:val="006C7D84"/>
    <w:rsid w:val="007148E8"/>
    <w:rsid w:val="00716AAC"/>
    <w:rsid w:val="00733DAA"/>
    <w:rsid w:val="00741ACE"/>
    <w:rsid w:val="00742BA0"/>
    <w:rsid w:val="00753545"/>
    <w:rsid w:val="00764156"/>
    <w:rsid w:val="007706D7"/>
    <w:rsid w:val="007879ED"/>
    <w:rsid w:val="007A48A3"/>
    <w:rsid w:val="007C029F"/>
    <w:rsid w:val="007C7F49"/>
    <w:rsid w:val="007D2A21"/>
    <w:rsid w:val="00811D63"/>
    <w:rsid w:val="00815B4D"/>
    <w:rsid w:val="00843461"/>
    <w:rsid w:val="00872946"/>
    <w:rsid w:val="0088023A"/>
    <w:rsid w:val="008858FB"/>
    <w:rsid w:val="00894B41"/>
    <w:rsid w:val="008B4473"/>
    <w:rsid w:val="008B5427"/>
    <w:rsid w:val="00903F6B"/>
    <w:rsid w:val="009173F9"/>
    <w:rsid w:val="00936771"/>
    <w:rsid w:val="009628B9"/>
    <w:rsid w:val="0096425A"/>
    <w:rsid w:val="00975A04"/>
    <w:rsid w:val="009A1943"/>
    <w:rsid w:val="009A2A31"/>
    <w:rsid w:val="009C4B9A"/>
    <w:rsid w:val="009D262A"/>
    <w:rsid w:val="009F546E"/>
    <w:rsid w:val="00A079F0"/>
    <w:rsid w:val="00A153B3"/>
    <w:rsid w:val="00A34BA0"/>
    <w:rsid w:val="00A57BF7"/>
    <w:rsid w:val="00A83D8A"/>
    <w:rsid w:val="00A86980"/>
    <w:rsid w:val="00A93E7D"/>
    <w:rsid w:val="00A948ED"/>
    <w:rsid w:val="00AA260E"/>
    <w:rsid w:val="00AA44CB"/>
    <w:rsid w:val="00AA67CD"/>
    <w:rsid w:val="00AD6761"/>
    <w:rsid w:val="00AE0680"/>
    <w:rsid w:val="00AE5782"/>
    <w:rsid w:val="00AE600E"/>
    <w:rsid w:val="00AF3EEB"/>
    <w:rsid w:val="00B0083B"/>
    <w:rsid w:val="00B0243E"/>
    <w:rsid w:val="00B209B8"/>
    <w:rsid w:val="00B249F3"/>
    <w:rsid w:val="00B32A20"/>
    <w:rsid w:val="00B41BD3"/>
    <w:rsid w:val="00B4607E"/>
    <w:rsid w:val="00B710DD"/>
    <w:rsid w:val="00B75E71"/>
    <w:rsid w:val="00BD5E5A"/>
    <w:rsid w:val="00BE5A85"/>
    <w:rsid w:val="00BF5718"/>
    <w:rsid w:val="00C050F8"/>
    <w:rsid w:val="00C061C6"/>
    <w:rsid w:val="00C1464D"/>
    <w:rsid w:val="00C3106E"/>
    <w:rsid w:val="00C35946"/>
    <w:rsid w:val="00C43D5A"/>
    <w:rsid w:val="00C60609"/>
    <w:rsid w:val="00C7423B"/>
    <w:rsid w:val="00C94DF7"/>
    <w:rsid w:val="00C95CC1"/>
    <w:rsid w:val="00CA3F44"/>
    <w:rsid w:val="00CA7F9A"/>
    <w:rsid w:val="00CE212D"/>
    <w:rsid w:val="00CE4B38"/>
    <w:rsid w:val="00CE5EED"/>
    <w:rsid w:val="00D0144B"/>
    <w:rsid w:val="00D1321A"/>
    <w:rsid w:val="00D2484F"/>
    <w:rsid w:val="00D30ADF"/>
    <w:rsid w:val="00D365E5"/>
    <w:rsid w:val="00D51725"/>
    <w:rsid w:val="00D6315E"/>
    <w:rsid w:val="00D652C2"/>
    <w:rsid w:val="00D74EE2"/>
    <w:rsid w:val="00D83E19"/>
    <w:rsid w:val="00DA00C9"/>
    <w:rsid w:val="00DB200E"/>
    <w:rsid w:val="00DB65F5"/>
    <w:rsid w:val="00DC0687"/>
    <w:rsid w:val="00DC6372"/>
    <w:rsid w:val="00E01C3E"/>
    <w:rsid w:val="00E0767E"/>
    <w:rsid w:val="00E13099"/>
    <w:rsid w:val="00E4339F"/>
    <w:rsid w:val="00E629EA"/>
    <w:rsid w:val="00E65747"/>
    <w:rsid w:val="00E6777C"/>
    <w:rsid w:val="00E71C63"/>
    <w:rsid w:val="00EB05A3"/>
    <w:rsid w:val="00ED17B8"/>
    <w:rsid w:val="00ED38B7"/>
    <w:rsid w:val="00EE051D"/>
    <w:rsid w:val="00F00E4C"/>
    <w:rsid w:val="00F0131A"/>
    <w:rsid w:val="00F14C17"/>
    <w:rsid w:val="00F17041"/>
    <w:rsid w:val="00F31409"/>
    <w:rsid w:val="00F44937"/>
    <w:rsid w:val="00F47EEC"/>
    <w:rsid w:val="00F57A10"/>
    <w:rsid w:val="00F61A47"/>
    <w:rsid w:val="00F84422"/>
    <w:rsid w:val="00F9111D"/>
    <w:rsid w:val="00F95455"/>
    <w:rsid w:val="00FA574D"/>
    <w:rsid w:val="00FA58B9"/>
    <w:rsid w:val="00FD3982"/>
    <w:rsid w:val="00FE1A69"/>
    <w:rsid w:val="00FE5BE7"/>
    <w:rsid w:val="00FE7AD9"/>
    <w:rsid w:val="01322275"/>
    <w:rsid w:val="01DC6F05"/>
    <w:rsid w:val="02A3489A"/>
    <w:rsid w:val="02CA138D"/>
    <w:rsid w:val="033646FC"/>
    <w:rsid w:val="03C75F80"/>
    <w:rsid w:val="0478364D"/>
    <w:rsid w:val="053D4C0D"/>
    <w:rsid w:val="0557532E"/>
    <w:rsid w:val="0799329C"/>
    <w:rsid w:val="07F402F6"/>
    <w:rsid w:val="086F16A7"/>
    <w:rsid w:val="0A0F7225"/>
    <w:rsid w:val="0A2B7D82"/>
    <w:rsid w:val="0ADC40E9"/>
    <w:rsid w:val="0AE607F4"/>
    <w:rsid w:val="0B451598"/>
    <w:rsid w:val="0BEB609E"/>
    <w:rsid w:val="0BEC73F4"/>
    <w:rsid w:val="0C392698"/>
    <w:rsid w:val="0ECA1C16"/>
    <w:rsid w:val="10BD36F6"/>
    <w:rsid w:val="11BF0649"/>
    <w:rsid w:val="123E3E08"/>
    <w:rsid w:val="13D22E22"/>
    <w:rsid w:val="14A35B1D"/>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0431754"/>
    <w:rsid w:val="21302EEA"/>
    <w:rsid w:val="22376FB5"/>
    <w:rsid w:val="23E152D7"/>
    <w:rsid w:val="255D43C8"/>
    <w:rsid w:val="26876BDD"/>
    <w:rsid w:val="2714632A"/>
    <w:rsid w:val="27B0539E"/>
    <w:rsid w:val="29365CF8"/>
    <w:rsid w:val="299469B3"/>
    <w:rsid w:val="2A805789"/>
    <w:rsid w:val="2ADC0D75"/>
    <w:rsid w:val="2B4A0E52"/>
    <w:rsid w:val="2B8F2EBF"/>
    <w:rsid w:val="2C975890"/>
    <w:rsid w:val="2D1C3D67"/>
    <w:rsid w:val="2DEF21BB"/>
    <w:rsid w:val="2E4A2F05"/>
    <w:rsid w:val="2ECC1061"/>
    <w:rsid w:val="2FA476AD"/>
    <w:rsid w:val="303F7540"/>
    <w:rsid w:val="31DD00BF"/>
    <w:rsid w:val="3293174C"/>
    <w:rsid w:val="32BB38D4"/>
    <w:rsid w:val="32C9376D"/>
    <w:rsid w:val="33780472"/>
    <w:rsid w:val="33AF0905"/>
    <w:rsid w:val="342A3EA0"/>
    <w:rsid w:val="355932F4"/>
    <w:rsid w:val="35611882"/>
    <w:rsid w:val="36746FC3"/>
    <w:rsid w:val="368763AE"/>
    <w:rsid w:val="36A0381F"/>
    <w:rsid w:val="375C4089"/>
    <w:rsid w:val="395D59E7"/>
    <w:rsid w:val="39707130"/>
    <w:rsid w:val="39A93932"/>
    <w:rsid w:val="3A915562"/>
    <w:rsid w:val="3B4E1D7F"/>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433E7"/>
    <w:rsid w:val="49E7604E"/>
    <w:rsid w:val="4B0263A1"/>
    <w:rsid w:val="4B864B9B"/>
    <w:rsid w:val="4BF67CDD"/>
    <w:rsid w:val="4D0F4116"/>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8C4D37"/>
    <w:rsid w:val="649125B6"/>
    <w:rsid w:val="652F4C1A"/>
    <w:rsid w:val="666D37F1"/>
    <w:rsid w:val="67087D8F"/>
    <w:rsid w:val="671526C1"/>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link w:val="8"/>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7"/>
    <w:unhideWhenUsed/>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 Char Char Char Char Char Char Char Char Char Char Char Char Char"/>
    <w:basedOn w:val="1"/>
    <w:link w:val="7"/>
    <w:qFormat/>
    <w:uiPriority w:val="0"/>
    <w:pPr>
      <w:snapToGrid w:val="0"/>
      <w:spacing w:line="360" w:lineRule="auto"/>
      <w:ind w:firstLine="200" w:firstLineChars="200"/>
    </w:pPr>
    <w:rPr>
      <w:rFonts w:ascii="宋体" w:hAnsi="宋体" w:eastAsia="仿宋_GB2312"/>
      <w:sz w:val="32"/>
      <w:szCs w:val="20"/>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paragraph" w:customStyle="1" w:styleId="11">
    <w:name w:val="p0"/>
    <w:basedOn w:val="1"/>
    <w:qFormat/>
    <w:uiPriority w:val="0"/>
    <w:pPr>
      <w:widowControl/>
    </w:pPr>
    <w:rPr>
      <w:rFonts w:ascii="宋体" w:hAnsi="宋体" w:cs="宋体"/>
      <w:color w:val="000000"/>
      <w:kern w:val="0"/>
      <w:sz w:val="22"/>
      <w:szCs w:val="21"/>
    </w:rPr>
  </w:style>
  <w:style w:type="character" w:customStyle="1" w:styleId="12">
    <w:name w:val="font11"/>
    <w:basedOn w:val="7"/>
    <w:qFormat/>
    <w:uiPriority w:val="0"/>
    <w:rPr>
      <w:rFonts w:hint="eastAsia" w:ascii="宋体" w:hAnsi="宋体" w:eastAsia="宋体" w:cs="宋体"/>
      <w:color w:val="000000"/>
      <w:sz w:val="20"/>
      <w:szCs w:val="20"/>
      <w:u w:val="none"/>
    </w:rPr>
  </w:style>
  <w:style w:type="character" w:customStyle="1" w:styleId="13">
    <w:name w:val="批注框文本 Char"/>
    <w:basedOn w:val="7"/>
    <w:link w:val="2"/>
    <w:semiHidden/>
    <w:qFormat/>
    <w:uiPriority w:val="99"/>
    <w:rPr>
      <w:kern w:val="2"/>
      <w:sz w:val="18"/>
      <w:szCs w:val="18"/>
    </w:rPr>
  </w:style>
  <w:style w:type="character" w:customStyle="1" w:styleId="14">
    <w:name w:val="页眉 Char"/>
    <w:link w:val="4"/>
    <w:qFormat/>
    <w:uiPriority w:val="99"/>
    <w:rPr>
      <w:kern w:val="2"/>
      <w:sz w:val="18"/>
      <w:szCs w:val="18"/>
    </w:rPr>
  </w:style>
  <w:style w:type="character" w:customStyle="1" w:styleId="15">
    <w:name w:val="font01"/>
    <w:basedOn w:val="7"/>
    <w:qFormat/>
    <w:uiPriority w:val="0"/>
    <w:rPr>
      <w:rFonts w:hint="eastAsia" w:ascii="宋体" w:hAnsi="宋体" w:eastAsia="宋体" w:cs="宋体"/>
      <w:color w:val="000000"/>
      <w:sz w:val="22"/>
      <w:szCs w:val="22"/>
      <w:u w:val="none"/>
    </w:rPr>
  </w:style>
  <w:style w:type="character" w:customStyle="1" w:styleId="16">
    <w:name w:val="font51"/>
    <w:basedOn w:val="7"/>
    <w:qFormat/>
    <w:uiPriority w:val="0"/>
    <w:rPr>
      <w:rFonts w:hint="eastAsia" w:ascii="宋体" w:hAnsi="宋体" w:eastAsia="宋体" w:cs="宋体"/>
      <w:color w:val="000000"/>
      <w:sz w:val="24"/>
      <w:szCs w:val="24"/>
      <w:u w:val="none"/>
    </w:rPr>
  </w:style>
  <w:style w:type="character" w:customStyle="1" w:styleId="17">
    <w:name w:val="页脚 Char"/>
    <w:link w:val="3"/>
    <w:qFormat/>
    <w:uiPriority w:val="99"/>
    <w:rPr>
      <w:kern w:val="2"/>
      <w:sz w:val="18"/>
      <w:szCs w:val="18"/>
    </w:rPr>
  </w:style>
  <w:style w:type="character" w:customStyle="1" w:styleId="18">
    <w:name w:val="font21"/>
    <w:basedOn w:val="7"/>
    <w:qFormat/>
    <w:uiPriority w:val="0"/>
    <w:rPr>
      <w:rFonts w:hint="eastAsia" w:ascii="宋体" w:hAnsi="宋体" w:eastAsia="宋体" w:cs="宋体"/>
      <w:color w:val="000000"/>
      <w:sz w:val="22"/>
      <w:szCs w:val="22"/>
      <w:u w:val="none"/>
    </w:rPr>
  </w:style>
  <w:style w:type="character" w:customStyle="1" w:styleId="19">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Pages>
  <Words>2706</Words>
  <Characters>15426</Characters>
  <Lines>128</Lines>
  <Paragraphs>36</Paragraphs>
  <TotalTime>0</TotalTime>
  <ScaleCrop>false</ScaleCrop>
  <LinksUpToDate>false</LinksUpToDate>
  <CharactersWithSpaces>18096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2019-09-12T02:32:00Z</cp:lastPrinted>
  <dcterms:modified xsi:type="dcterms:W3CDTF">2019-09-05T03:31:08Z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5F55DCAE31384C4AAE5BFF0726E42732</vt:lpwstr>
  </property>
</Properties>
</file>