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3" w:lineRule="exact"/>
        <w:ind w:firstLine="0" w:firstLineChars="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w:t>
      </w:r>
      <w:r>
        <w:rPr>
          <w:rFonts w:hint="eastAsia" w:ascii="方正仿宋简体" w:hAnsi="方正仿宋简体" w:eastAsia="方正仿宋简体" w:cs="方正仿宋简体"/>
          <w:sz w:val="32"/>
          <w:szCs w:val="32"/>
          <w:lang w:val="en-US" w:eastAsia="zh-CN"/>
        </w:rPr>
        <w:t>1</w:t>
      </w:r>
    </w:p>
    <w:p>
      <w:pPr>
        <w:ind w:firstLine="0" w:firstLineChars="0"/>
        <w:jc w:val="center"/>
        <w:rPr>
          <w:rFonts w:ascii="方正小标宋简体" w:eastAsia="方正小标宋简体"/>
          <w:sz w:val="36"/>
          <w:szCs w:val="36"/>
        </w:rPr>
      </w:pPr>
      <w:r>
        <w:rPr>
          <w:rFonts w:hint="eastAsia" w:ascii="方正小标宋简体" w:eastAsia="方正小标宋简体"/>
          <w:sz w:val="36"/>
          <w:szCs w:val="36"/>
        </w:rPr>
        <w:t>2019年第三批中央财政支持开展居家和社区养老服务改革试点工作</w:t>
      </w:r>
      <w:r>
        <w:rPr>
          <w:rFonts w:hint="eastAsia" w:ascii="方正小标宋简体" w:eastAsia="方正小标宋简体"/>
          <w:sz w:val="36"/>
          <w:szCs w:val="36"/>
          <w:lang w:eastAsia="zh-CN"/>
        </w:rPr>
        <w:t>成果验收</w:t>
      </w:r>
      <w:r>
        <w:rPr>
          <w:rFonts w:hint="eastAsia" w:ascii="方正小标宋简体" w:eastAsia="方正小标宋简体"/>
          <w:sz w:val="36"/>
          <w:szCs w:val="36"/>
        </w:rPr>
        <w:t>评分表</w:t>
      </w:r>
    </w:p>
    <w:p>
      <w:pPr>
        <w:ind w:firstLine="560"/>
        <w:rPr>
          <w:rFonts w:ascii="宋体" w:hAnsi="宋体" w:eastAsia="宋体"/>
          <w:sz w:val="28"/>
          <w:szCs w:val="28"/>
        </w:rPr>
      </w:pPr>
      <w:r>
        <w:rPr>
          <w:rFonts w:hint="eastAsia" w:ascii="宋体" w:hAnsi="宋体" w:eastAsia="宋体"/>
          <w:sz w:val="28"/>
          <w:szCs w:val="28"/>
        </w:rPr>
        <w:t>试点地区：</w:t>
      </w:r>
      <w:r>
        <w:rPr>
          <w:rFonts w:ascii="宋体" w:hAnsi="宋体" w:eastAsia="宋体"/>
          <w:sz w:val="28"/>
          <w:szCs w:val="28"/>
        </w:rPr>
        <w:t xml:space="preserve">      省（区、市）      市                                   填表时间：201</w:t>
      </w:r>
      <w:r>
        <w:rPr>
          <w:rFonts w:hint="eastAsia" w:ascii="宋体" w:hAnsi="宋体" w:eastAsia="宋体"/>
          <w:sz w:val="28"/>
          <w:szCs w:val="28"/>
        </w:rPr>
        <w:t>9</w:t>
      </w:r>
      <w:r>
        <w:rPr>
          <w:rFonts w:ascii="宋体" w:hAnsi="宋体" w:eastAsia="宋体"/>
          <w:sz w:val="28"/>
          <w:szCs w:val="28"/>
        </w:rPr>
        <w:t>年  月  日</w:t>
      </w:r>
    </w:p>
    <w:tbl>
      <w:tblPr>
        <w:tblStyle w:val="11"/>
        <w:tblW w:w="14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0"/>
        <w:gridCol w:w="1620"/>
        <w:gridCol w:w="6620"/>
        <w:gridCol w:w="4100"/>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blHeader/>
        </w:trPr>
        <w:tc>
          <w:tcPr>
            <w:tcW w:w="142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b/>
                <w:bCs/>
                <w:kern w:val="2"/>
                <w:sz w:val="28"/>
                <w:szCs w:val="28"/>
              </w:rPr>
            </w:pPr>
            <w:r>
              <w:rPr>
                <w:rFonts w:hint="eastAsia" w:ascii="宋体" w:hAnsi="宋体" w:eastAsia="宋体" w:cs="宋体"/>
                <w:b/>
                <w:bCs/>
                <w:kern w:val="2"/>
                <w:sz w:val="28"/>
                <w:szCs w:val="28"/>
                <w:lang w:eastAsia="zh-CN"/>
              </w:rPr>
              <w:t>验收</w:t>
            </w:r>
            <w:r>
              <w:rPr>
                <w:rFonts w:hint="eastAsia" w:ascii="宋体" w:hAnsi="宋体" w:eastAsia="宋体" w:cs="宋体"/>
                <w:b/>
                <w:bCs/>
                <w:kern w:val="2"/>
                <w:sz w:val="28"/>
                <w:szCs w:val="28"/>
              </w:rPr>
              <w:t>内容</w:t>
            </w:r>
          </w:p>
        </w:tc>
        <w:tc>
          <w:tcPr>
            <w:tcW w:w="162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b/>
                <w:bCs/>
                <w:kern w:val="2"/>
                <w:sz w:val="28"/>
                <w:szCs w:val="28"/>
              </w:rPr>
            </w:pPr>
            <w:r>
              <w:rPr>
                <w:rFonts w:hint="eastAsia" w:ascii="宋体" w:hAnsi="宋体" w:eastAsia="宋体" w:cs="宋体"/>
                <w:b/>
                <w:bCs/>
                <w:kern w:val="2"/>
                <w:sz w:val="28"/>
                <w:szCs w:val="28"/>
                <w:lang w:eastAsia="zh-CN"/>
              </w:rPr>
              <w:t>验收</w:t>
            </w:r>
            <w:r>
              <w:rPr>
                <w:rFonts w:hint="eastAsia" w:ascii="宋体" w:hAnsi="宋体" w:eastAsia="宋体" w:cs="宋体"/>
                <w:b/>
                <w:bCs/>
                <w:kern w:val="2"/>
                <w:sz w:val="28"/>
                <w:szCs w:val="28"/>
              </w:rPr>
              <w:t>指标</w:t>
            </w:r>
          </w:p>
        </w:tc>
        <w:tc>
          <w:tcPr>
            <w:tcW w:w="662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b/>
                <w:bCs/>
                <w:kern w:val="2"/>
                <w:sz w:val="28"/>
                <w:szCs w:val="28"/>
              </w:rPr>
            </w:pPr>
            <w:r>
              <w:rPr>
                <w:rFonts w:hint="eastAsia" w:ascii="宋体" w:hAnsi="宋体" w:eastAsia="宋体" w:cs="宋体"/>
                <w:b/>
                <w:bCs/>
                <w:kern w:val="2"/>
                <w:sz w:val="28"/>
                <w:szCs w:val="28"/>
              </w:rPr>
              <w:t>评分标准及分值</w:t>
            </w:r>
          </w:p>
        </w:tc>
        <w:tc>
          <w:tcPr>
            <w:tcW w:w="410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b/>
                <w:bCs/>
                <w:kern w:val="2"/>
                <w:sz w:val="28"/>
                <w:szCs w:val="28"/>
              </w:rPr>
            </w:pPr>
            <w:r>
              <w:rPr>
                <w:rFonts w:hint="eastAsia" w:ascii="宋体" w:hAnsi="宋体" w:eastAsia="宋体" w:cs="宋体"/>
                <w:b/>
                <w:bCs/>
                <w:kern w:val="2"/>
                <w:sz w:val="28"/>
                <w:szCs w:val="28"/>
              </w:rPr>
              <w:t>评分依据</w:t>
            </w:r>
          </w:p>
        </w:tc>
        <w:tc>
          <w:tcPr>
            <w:tcW w:w="82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b/>
                <w:bCs/>
                <w:kern w:val="2"/>
                <w:sz w:val="28"/>
                <w:szCs w:val="28"/>
              </w:rPr>
            </w:pPr>
            <w:r>
              <w:rPr>
                <w:rFonts w:hint="eastAsia" w:ascii="宋体" w:hAnsi="宋体" w:eastAsia="宋体" w:cs="宋体"/>
                <w:b/>
                <w:bCs/>
                <w:kern w:val="2"/>
                <w:sz w:val="28"/>
                <w:szCs w:val="2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14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1.工作基础（20分）</w:t>
            </w: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1.1 试点工作领导机构情况</w:t>
            </w: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（2分）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1.1.1 领导小组已召开居家和社区养老服务改革试点专题会议的，得1分；未召开，得0分。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有关</w:t>
            </w:r>
            <w:r>
              <w:rPr>
                <w:rFonts w:hint="eastAsia" w:ascii="宋体" w:hAnsi="宋体" w:eastAsia="宋体" w:cs="宋体"/>
                <w:kern w:val="2"/>
                <w:sz w:val="24"/>
                <w:szCs w:val="24"/>
                <w:lang w:eastAsia="zh-CN"/>
              </w:rPr>
              <w:t>记录或证明材料</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1.1.2 试点地区所在省份对试点地区开展了督促指导工作，得1分；未督查，得0分。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有关</w:t>
            </w:r>
            <w:r>
              <w:rPr>
                <w:rFonts w:hint="eastAsia" w:ascii="宋体" w:hAnsi="宋体" w:eastAsia="宋体" w:cs="宋体"/>
                <w:kern w:val="2"/>
                <w:sz w:val="24"/>
                <w:szCs w:val="24"/>
                <w:lang w:eastAsia="zh-CN"/>
              </w:rPr>
              <w:t>记录或证明材料</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9"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1.2 政策出台情况</w:t>
            </w: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（8分）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1.2.1 已制定出台扶持社会力量参与居家和社区养老服务的优惠政策，得4分；正在研究制定相关政策，得2分；未研究起草，得0分。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已制定出台的，提供政策文件（包括改革试点之前出台的）；正在研究制定的，提供政策文件征求意见稿</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1.2.2 已制定出台增加居家和社区养老服务设施的扶持政策和管理制度，得4分；正在研究制定相关政策，得2分；未研究起草，得0分。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已制定出台的，提供政策文件（包括改革试点之前出台的）；正在研究制定的，提供政策文件征求意见稿</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1.3 资金使用及管理情况</w:t>
            </w:r>
          </w:p>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（10分）</w:t>
            </w:r>
          </w:p>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1.3.1 已明确了中央财政补助资金具体使用项目及执行进度方案，得1分；未明确，得0分。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有关文件材料</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1.3.2 2019年4月底前，中央财政补助资金的执行进度（已拨付至试点地区所辖区县）达50％及以上，得4分；执行进度低于50%但达30％及以上，得2分；低于30％，得0分。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补助资金拨付凭证</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1.3.3 省级及以下安排的配套资金达到或超出中央财政补助资金，得3分；低于中央财政补助资金，得2分；未安排资金，得0分。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资金安排相关文件</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8"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1.3.4已制定中央财政补助资金的使用管理办法，得2分；正在研究制定，得1分；未研究起草，得0分。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已制定出台的，提供政策文件（包括改革试点之前出台的）；正在研究制定的，提供政策文件征求意见稿</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9" w:hRule="atLeast"/>
        </w:trPr>
        <w:tc>
          <w:tcPr>
            <w:tcW w:w="1420" w:type="dxa"/>
            <w:tcBorders>
              <w:top w:val="nil"/>
              <w:left w:val="single" w:color="auto" w:sz="4" w:space="0"/>
              <w:bottom w:val="single" w:color="auto" w:sz="4" w:space="0"/>
              <w:right w:val="single" w:color="auto" w:sz="4" w:space="0"/>
            </w:tcBorders>
            <w:vAlign w:val="center"/>
          </w:tcPr>
          <w:p>
            <w:pPr>
              <w:widowControl/>
              <w:numPr>
                <w:ilvl w:val="0"/>
                <w:numId w:val="1"/>
              </w:numPr>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工作任务清单对比情况</w:t>
            </w:r>
          </w:p>
          <w:p>
            <w:pPr>
              <w:widowControl/>
              <w:numPr>
                <w:ilvl w:val="0"/>
                <w:numId w:val="0"/>
              </w:numPr>
              <w:spacing w:before="0" w:beforeAutospacing="0" w:after="0" w:afterAutospacing="0" w:line="240" w:lineRule="auto"/>
              <w:ind w:left="0" w:right="0"/>
              <w:jc w:val="center"/>
              <w:rPr>
                <w:rFonts w:ascii="宋体" w:hAnsi="宋体" w:eastAsia="宋体" w:cs="宋体"/>
                <w:kern w:val="2"/>
                <w:sz w:val="24"/>
                <w:szCs w:val="24"/>
              </w:rPr>
            </w:pPr>
            <w:r>
              <w:rPr>
                <w:rFonts w:hint="eastAsia" w:ascii="宋体" w:hAnsi="宋体" w:eastAsia="宋体" w:cs="宋体"/>
                <w:kern w:val="2"/>
                <w:sz w:val="24"/>
                <w:szCs w:val="24"/>
              </w:rPr>
              <w:t>（6分）</w:t>
            </w:r>
          </w:p>
        </w:tc>
        <w:tc>
          <w:tcPr>
            <w:tcW w:w="162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2.1 任务清单对比情况（6分）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2.1.1 试点地区的工作任务清单和进度与报送的工作计划内容相符，进度合理的，得6分；工作任务清单和进度与报送的工作计划内容相符，进度偏慢的，得3分；工作任务清单和进度比报送工作计划内容减少，且进度偏慢的，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试点工作进展自评表</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1420" w:type="dxa"/>
            <w:vMerge w:val="restart"/>
            <w:tcBorders>
              <w:top w:val="nil"/>
              <w:left w:val="single" w:color="auto" w:sz="4" w:space="0"/>
              <w:bottom w:val="single" w:color="auto" w:sz="4" w:space="0"/>
              <w:right w:val="single" w:color="auto" w:sz="4" w:space="0"/>
            </w:tcBorders>
            <w:vAlign w:val="center"/>
          </w:tcPr>
          <w:p>
            <w:pPr>
              <w:widowControl/>
              <w:numPr>
                <w:ilvl w:val="0"/>
                <w:numId w:val="1"/>
              </w:numPr>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工作任务清单完成情况</w:t>
            </w:r>
          </w:p>
          <w:p>
            <w:pPr>
              <w:widowControl/>
              <w:numPr>
                <w:ilvl w:val="0"/>
                <w:numId w:val="0"/>
              </w:numPr>
              <w:spacing w:before="0" w:beforeAutospacing="0" w:after="0" w:afterAutospacing="0" w:line="240" w:lineRule="auto"/>
              <w:ind w:left="0" w:right="0"/>
              <w:jc w:val="center"/>
              <w:rPr>
                <w:rFonts w:ascii="宋体" w:hAnsi="宋体" w:eastAsia="宋体" w:cs="宋体"/>
                <w:kern w:val="2"/>
                <w:sz w:val="24"/>
                <w:szCs w:val="24"/>
              </w:rPr>
            </w:pPr>
            <w:r>
              <w:rPr>
                <w:rFonts w:hint="eastAsia" w:ascii="宋体" w:hAnsi="宋体" w:eastAsia="宋体" w:cs="宋体"/>
                <w:kern w:val="2"/>
                <w:sz w:val="24"/>
                <w:szCs w:val="24"/>
              </w:rPr>
              <w:t>（64分)</w:t>
            </w:r>
          </w:p>
        </w:tc>
        <w:tc>
          <w:tcPr>
            <w:tcW w:w="1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shd w:val="clear" w:color="auto" w:fill="auto"/>
              </w:rPr>
            </w:pPr>
            <w:r>
              <w:rPr>
                <w:rFonts w:hint="eastAsia" w:ascii="宋体" w:hAnsi="宋体" w:eastAsia="宋体" w:cs="宋体"/>
                <w:kern w:val="2"/>
                <w:sz w:val="24"/>
                <w:szCs w:val="24"/>
                <w:shd w:val="clear" w:color="auto" w:fill="auto"/>
              </w:rPr>
              <w:t>3.1特殊困难老年人基本服务制度建立情况</w:t>
            </w: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shd w:val="clear" w:color="auto" w:fill="auto"/>
              </w:rPr>
            </w:pPr>
            <w:r>
              <w:rPr>
                <w:rFonts w:hint="eastAsia" w:ascii="宋体" w:hAnsi="宋体" w:eastAsia="宋体" w:cs="宋体"/>
                <w:kern w:val="2"/>
                <w:sz w:val="24"/>
                <w:szCs w:val="24"/>
                <w:shd w:val="clear" w:color="auto" w:fill="auto"/>
              </w:rPr>
              <w:t>（8分）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shd w:val="clear" w:color="auto" w:fill="auto"/>
              </w:rPr>
            </w:pPr>
            <w:r>
              <w:rPr>
                <w:rFonts w:hint="eastAsia" w:ascii="宋体" w:hAnsi="宋体" w:eastAsia="宋体" w:cs="宋体"/>
                <w:kern w:val="2"/>
                <w:sz w:val="24"/>
                <w:szCs w:val="24"/>
                <w:shd w:val="clear" w:color="auto" w:fill="auto"/>
              </w:rPr>
              <w:t>3.1.1 已建立特殊困难老年人基本服务制度，明确政府职责，开展特殊和困难老年人筛查摸底工作并建立数据库，得8分；已探索建立特殊困难老年人基本服务制度，开展特殊和困难老年人筛查摸底工作，得4分；未建立，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特殊困难老年人基本服务清单等有关文件材料</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3.2 社会力量参与居家和社区养老服务情况</w:t>
            </w: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（8分）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3.2.1 已打造或引进品牌化、连锁化、专业化的居家和社区养老服务龙头企业或社会组织，得4分；正在推动培育和引进，得2分；未启动，得0分。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品牌化、连锁化机构名单（连锁化机构指的是在同一地区有3家以上机构）</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4"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3.2.2 2019年新增、独立建设的居家和社区养老服务设施交由社会力量运营的比例达40％及以上，得4分；低于40%但达20%及以上，得2分；20%以下，得0分。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 xml:space="preserve">试点地区2019年新增设施中交由社会力量运营的设施名单（设施名单需标注运营方信息和运营方联系方式）                        </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3.3 建立居家和社区养老服务信息平台</w:t>
            </w: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（8分）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3.3.1 已建立统一管理、综合开放的居家和社区养老服务信息平台，得4分；正在建立信息平台，得2分，未开展，得0分。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试点地区建立的服务热线或网络平台及平台中的服务机构或组织信息介绍</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3.3.2 已建立了居家和社区养老应急服务网络（如开设平安钟、一键通等方式），得2分；未开展，得0分。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试点地区居家和社区有关应急服务网络</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3.3.3 社会力量在服务管理中已开发居家和社区养老服务相关信息产品、工具，得2分；未开展，得0分。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社会力量提供养老服务中的有关信息产品和工具</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2" w:hRule="atLeast"/>
        </w:trPr>
        <w:tc>
          <w:tcPr>
            <w:tcW w:w="1420" w:type="dxa"/>
            <w:vMerge w:val="restart"/>
            <w:tcBorders>
              <w:top w:val="nil"/>
              <w:left w:val="single" w:color="auto" w:sz="4" w:space="0"/>
              <w:bottom w:val="single" w:color="auto" w:sz="4" w:space="0"/>
              <w:right w:val="single" w:color="auto" w:sz="4" w:space="0"/>
            </w:tcBorders>
            <w:vAlign w:val="center"/>
          </w:tcPr>
          <w:p>
            <w:pPr>
              <w:widowControl/>
              <w:numPr>
                <w:ilvl w:val="0"/>
                <w:numId w:val="2"/>
              </w:numPr>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工作任务清单完成情况</w:t>
            </w:r>
          </w:p>
          <w:p>
            <w:pPr>
              <w:widowControl/>
              <w:numPr>
                <w:ilvl w:val="0"/>
                <w:numId w:val="0"/>
              </w:numPr>
              <w:spacing w:before="0" w:beforeAutospacing="0" w:after="0" w:afterAutospacing="0" w:line="240" w:lineRule="auto"/>
              <w:ind w:left="0" w:right="0"/>
              <w:jc w:val="center"/>
              <w:rPr>
                <w:rFonts w:ascii="宋体" w:hAnsi="宋体" w:eastAsia="宋体" w:cs="宋体"/>
                <w:kern w:val="2"/>
                <w:sz w:val="24"/>
                <w:szCs w:val="24"/>
              </w:rPr>
            </w:pPr>
            <w:r>
              <w:rPr>
                <w:rFonts w:hint="eastAsia" w:ascii="宋体" w:hAnsi="宋体" w:eastAsia="宋体" w:cs="宋体"/>
                <w:kern w:val="2"/>
                <w:sz w:val="24"/>
                <w:szCs w:val="24"/>
              </w:rPr>
              <w:t>（64分)</w:t>
            </w: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 xml:space="preserve">3.4 居家和社区养老服务人才队伍建设工作 </w:t>
            </w:r>
            <w:r>
              <w:rPr>
                <w:rFonts w:hint="eastAsia" w:ascii="宋体" w:hAnsi="宋体" w:eastAsia="宋体" w:cs="宋体"/>
                <w:kern w:val="2"/>
                <w:sz w:val="24"/>
                <w:szCs w:val="24"/>
              </w:rPr>
              <w:br w:type="textWrapping"/>
            </w:r>
            <w:r>
              <w:rPr>
                <w:rFonts w:hint="eastAsia" w:ascii="宋体" w:hAnsi="宋体" w:eastAsia="宋体" w:cs="宋体"/>
                <w:kern w:val="2"/>
                <w:sz w:val="24"/>
                <w:szCs w:val="24"/>
              </w:rPr>
              <w:t>（8分）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3.4.1 已开展居家和社区养老服务管理人员、护理服务人员的专业培训和面向家庭照护者等其他服务人员的指导培训，得2分；未开展，得0分。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有关培训记录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3.4.2 已建立了居家和社区养老服务人才扶持、评估和激励政策，得4分；正在研究建立有关政策机制，得2分；未开展，得0分。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已制定出台的，提供政策文件（包括改革试点之前出台的）；正在研究制定的，提供政策文件征求意见稿</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3.4.3 组织各类志愿者开展居家和社区养老服务，统筹建立养老服务志愿者长效服务机制，得2分；未开展，得0分。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有关志愿者服务记录及文件材料</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3.5 居家和社区养老服务与医疗卫生服务相结合</w:t>
            </w: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（8分）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3.5.1 已为社区高龄、重病、失能、部分失能以及计划生育特殊困难家庭等行动不便或确有困难的老年人提供有针对性的医疗服务，得2分；未开展，得0分。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开展服务的有关文件规定，服务记录等</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3.5.2 社区养老服务机构与基层医疗卫生机构签约服务率大于或等于30％，得4分；低于30%但大于或等于15%，得3分；低于15%，得2分；未开展，得0分。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签约服务记录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9"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3.5.3 已开展基层医疗卫生机构与老年人家庭建立签约服务关系，为老年人提供持续的健康管理服务和医疗服务，得2分；未开展，得0分。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签约服务记录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1"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3.6 居家和社区养老服务标准化、规范化</w:t>
            </w:r>
            <w:r>
              <w:rPr>
                <w:rFonts w:hint="eastAsia" w:ascii="宋体" w:hAnsi="宋体" w:eastAsia="宋体" w:cs="宋体"/>
                <w:kern w:val="2"/>
                <w:sz w:val="24"/>
                <w:szCs w:val="24"/>
              </w:rPr>
              <w:br w:type="textWrapping"/>
            </w:r>
            <w:r>
              <w:rPr>
                <w:rFonts w:hint="eastAsia" w:ascii="宋体" w:hAnsi="宋体" w:eastAsia="宋体" w:cs="宋体"/>
                <w:kern w:val="2"/>
                <w:sz w:val="24"/>
                <w:szCs w:val="24"/>
              </w:rPr>
              <w:t>（4分）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3.6.1 已启动《社区老年人日间照料中心服务基本要求》（GB/T 33168 2016）和《社区老年人日间照料中心设施设备配置》（GB/T 33169 2016）或相关地方标准、行业标准贯彻落实工作，得4分；未启动，得0分。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贯彻落实有关标准的文件、制定的相关标准、开展的培训记录等材料</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1420" w:type="dxa"/>
            <w:vMerge w:val="restart"/>
            <w:tcBorders>
              <w:top w:val="nil"/>
              <w:left w:val="single" w:color="auto" w:sz="4" w:space="0"/>
              <w:bottom w:val="single" w:color="auto" w:sz="4" w:space="0"/>
              <w:right w:val="single" w:color="auto" w:sz="4" w:space="0"/>
            </w:tcBorders>
            <w:vAlign w:val="center"/>
          </w:tcPr>
          <w:p>
            <w:pPr>
              <w:widowControl/>
              <w:numPr>
                <w:ilvl w:val="0"/>
                <w:numId w:val="3"/>
              </w:numPr>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工作任务清单完成情况</w:t>
            </w:r>
          </w:p>
          <w:p>
            <w:pPr>
              <w:widowControl/>
              <w:numPr>
                <w:ilvl w:val="0"/>
                <w:numId w:val="0"/>
              </w:numPr>
              <w:spacing w:before="0" w:beforeAutospacing="0" w:after="0" w:afterAutospacing="0" w:line="240" w:lineRule="auto"/>
              <w:ind w:left="0" w:right="0"/>
              <w:jc w:val="center"/>
              <w:rPr>
                <w:rFonts w:ascii="宋体" w:hAnsi="宋体" w:eastAsia="宋体" w:cs="宋体"/>
                <w:kern w:val="2"/>
                <w:sz w:val="24"/>
                <w:szCs w:val="24"/>
              </w:rPr>
            </w:pPr>
            <w:r>
              <w:rPr>
                <w:rFonts w:hint="eastAsia" w:ascii="宋体" w:hAnsi="宋体" w:eastAsia="宋体" w:cs="宋体"/>
                <w:kern w:val="2"/>
                <w:sz w:val="24"/>
                <w:szCs w:val="24"/>
              </w:rPr>
              <w:t>（64分)</w:t>
            </w: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3.7 保障居家和社区养老服务场地供给</w:t>
            </w: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（12分）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3.7.1 已对全市居家和社区养老服务设施进行摸底统计，得3分；未完成，得0分。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试点地区服务设施统计表和服务设施清单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3.7.2 已开展新建居住小区居家和社区养老服务设施与住宅配套建设，或整合改造闲置社会资源用于居家和社区养老服务工作（包括政府通过购置、置换、租赁等方式无偿或低偿提供居家和社区养老服务设施），得3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关于居家和社区服务设施配套建设、验收、移交和管理等具体规定的文件材料；试点地区整合改造闲置资源用于居家和社区养老服务的设施清单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3.7.3 50%及以上的公办养老机构开展了向居家和社区养老延伸服务，得4分；已开展，但比例低于50%，得2分；没有开展，得0分。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公办养老机构名单及开展延伸服务的公办养老机构名单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3.7.4 开展试点以来，城市居家和社区养老服务设施覆盖率提高10%及以上，且有效运营三个月以上，得1分；农村居家和社区养老服务设施覆盖率提高10%及以上，且有效运营三个月以上，得1分；没有提高10%，或设施未能有效运营，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有效运营的居家和社区养老服务设施名单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3.8 农村居家和社区养老服务</w:t>
            </w: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（8分）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3.8.1 已制定专门支持农村养老服务发展的政策，得2分；未制定，得0分。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有关政策文件</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3.8.2 已建立农村空巢（独居、留守）老年人的定期巡访制度，得2分；未开展，得0分。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建立巡访制度的有关文件材料</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3.8.3 2个及以上农村敬老院等农村养老服务设施发展成为区域性养老服务中心，得2分；1个，得1分；没有的，得0分。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有关文件材料，区域性养老服务中心名单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3.8.4 已安排专项资金用于农村居家和社区养老服务，得2分；未安排，得0分。</w:t>
            </w:r>
          </w:p>
        </w:tc>
        <w:tc>
          <w:tcPr>
            <w:tcW w:w="410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both"/>
              <w:rPr>
                <w:rFonts w:ascii="宋体" w:hAnsi="宋体" w:eastAsia="宋体" w:cs="宋体"/>
                <w:kern w:val="2"/>
                <w:sz w:val="24"/>
                <w:szCs w:val="24"/>
              </w:rPr>
            </w:pPr>
            <w:r>
              <w:rPr>
                <w:rFonts w:hint="eastAsia" w:ascii="宋体" w:hAnsi="宋体" w:eastAsia="宋体" w:cs="宋体"/>
                <w:kern w:val="2"/>
                <w:sz w:val="24"/>
                <w:szCs w:val="24"/>
              </w:rPr>
              <w:t>资金安排记录</w:t>
            </w:r>
          </w:p>
        </w:tc>
        <w:tc>
          <w:tcPr>
            <w:tcW w:w="8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5" w:hRule="atLeast"/>
        </w:trPr>
        <w:tc>
          <w:tcPr>
            <w:tcW w:w="14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4.其他创新（10分）</w:t>
            </w:r>
          </w:p>
        </w:tc>
        <w:tc>
          <w:tcPr>
            <w:tcW w:w="16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4.其他创新 （10分）</w:t>
            </w: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4.1 某项创新性工作解决了全国性难题、填补全国空白，能够在全国推广经验，得6分；解决了本省份难题、填补本省份空白，能够在所在省份推广经验，得4分；解决了本地区难题、填补本地区空白，能够在所在试点地区推广经验，得2分。</w:t>
            </w:r>
          </w:p>
        </w:tc>
        <w:tc>
          <w:tcPr>
            <w:tcW w:w="410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创新工作说明及相关文件材料</w:t>
            </w:r>
          </w:p>
        </w:tc>
        <w:tc>
          <w:tcPr>
            <w:tcW w:w="820" w:type="dxa"/>
            <w:vMerge w:val="restart"/>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4.2 ………………</w:t>
            </w:r>
          </w:p>
        </w:tc>
        <w:tc>
          <w:tcPr>
            <w:tcW w:w="410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c>
          <w:tcPr>
            <w:tcW w:w="6620"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rPr>
                <w:rFonts w:ascii="宋体" w:hAnsi="宋体" w:eastAsia="宋体" w:cs="宋体"/>
                <w:kern w:val="2"/>
                <w:sz w:val="24"/>
                <w:szCs w:val="24"/>
              </w:rPr>
            </w:pPr>
            <w:r>
              <w:rPr>
                <w:rFonts w:hint="eastAsia" w:ascii="宋体" w:hAnsi="宋体" w:eastAsia="宋体" w:cs="宋体"/>
                <w:kern w:val="2"/>
                <w:sz w:val="24"/>
                <w:szCs w:val="24"/>
              </w:rPr>
              <w:t>4.3 ………………</w:t>
            </w:r>
          </w:p>
        </w:tc>
        <w:tc>
          <w:tcPr>
            <w:tcW w:w="410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420" w:type="dxa"/>
            <w:tcBorders>
              <w:top w:val="nil"/>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center"/>
              <w:rPr>
                <w:rFonts w:ascii="宋体" w:hAnsi="宋体" w:eastAsia="宋体" w:cs="宋体"/>
                <w:b/>
                <w:bCs/>
                <w:kern w:val="2"/>
                <w:sz w:val="24"/>
                <w:szCs w:val="24"/>
              </w:rPr>
            </w:pPr>
            <w:r>
              <w:rPr>
                <w:rFonts w:hint="eastAsia" w:ascii="宋体" w:hAnsi="宋体" w:eastAsia="宋体" w:cs="宋体"/>
                <w:b/>
                <w:bCs/>
                <w:kern w:val="2"/>
                <w:sz w:val="24"/>
                <w:szCs w:val="24"/>
              </w:rPr>
              <w:t>综合得分</w:t>
            </w:r>
          </w:p>
        </w:tc>
        <w:tc>
          <w:tcPr>
            <w:tcW w:w="13160" w:type="dxa"/>
            <w:gridSpan w:val="4"/>
            <w:tcBorders>
              <w:top w:val="nil"/>
              <w:left w:val="nil"/>
              <w:bottom w:val="single" w:color="auto" w:sz="4" w:space="0"/>
              <w:right w:val="single" w:color="auto" w:sz="4" w:space="0"/>
            </w:tcBorders>
            <w:vAlign w:val="center"/>
          </w:tcPr>
          <w:p>
            <w:pPr>
              <w:widowControl/>
              <w:spacing w:before="0" w:beforeAutospacing="0" w:after="0" w:afterAutospacing="0" w:line="240" w:lineRule="auto"/>
              <w:ind w:left="0" w:right="0" w:firstLine="0" w:firstLineChars="0"/>
              <w:jc w:val="left"/>
              <w:rPr>
                <w:rFonts w:ascii="宋体" w:hAnsi="宋体" w:eastAsia="宋体" w:cs="宋体"/>
                <w:b/>
                <w:bCs/>
                <w:kern w:val="2"/>
                <w:sz w:val="24"/>
                <w:szCs w:val="24"/>
              </w:rPr>
            </w:pPr>
            <w:r>
              <w:rPr>
                <w:rFonts w:hint="eastAsia" w:ascii="宋体" w:hAnsi="宋体" w:eastAsia="宋体" w:cs="宋体"/>
                <w:b/>
                <w:bCs/>
                <w:kern w:val="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14580" w:type="dxa"/>
            <w:gridSpan w:val="5"/>
            <w:tcBorders>
              <w:top w:val="nil"/>
              <w:left w:val="nil"/>
              <w:bottom w:val="nil"/>
              <w:right w:val="nil"/>
            </w:tcBorders>
            <w:vAlign w:val="center"/>
          </w:tcPr>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widowControl/>
              <w:spacing w:before="0" w:beforeAutospacing="0" w:after="0" w:afterAutospacing="0" w:line="240" w:lineRule="auto"/>
              <w:ind w:left="0" w:right="0" w:firstLine="0" w:firstLineChars="0"/>
              <w:jc w:val="center"/>
              <w:rPr>
                <w:rFonts w:hint="eastAsia" w:ascii="宋体" w:hAnsi="宋体" w:eastAsia="宋体" w:cs="宋体"/>
                <w:kern w:val="2"/>
                <w:sz w:val="24"/>
                <w:szCs w:val="24"/>
              </w:rPr>
            </w:pPr>
          </w:p>
          <w:p>
            <w:pPr>
              <w:widowControl/>
              <w:spacing w:before="0" w:beforeAutospacing="0" w:after="0" w:afterAutospacing="0" w:line="240" w:lineRule="auto"/>
              <w:ind w:left="0" w:right="0" w:firstLine="0" w:firstLineChars="0"/>
              <w:jc w:val="center"/>
              <w:rPr>
                <w:rFonts w:ascii="宋体" w:hAnsi="宋体" w:eastAsia="宋体" w:cs="宋体"/>
                <w:kern w:val="2"/>
                <w:sz w:val="24"/>
                <w:szCs w:val="24"/>
              </w:rPr>
            </w:pP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 xml:space="preserve">  </w:t>
            </w:r>
            <w:r>
              <w:rPr>
                <w:rFonts w:hint="eastAsia" w:ascii="宋体" w:hAnsi="宋体" w:eastAsia="宋体" w:cs="宋体"/>
                <w:kern w:val="2"/>
                <w:sz w:val="24"/>
                <w:szCs w:val="24"/>
                <w:lang w:eastAsia="zh-CN"/>
              </w:rPr>
              <w:t>验收</w:t>
            </w:r>
            <w:r>
              <w:rPr>
                <w:rFonts w:hint="eastAsia" w:ascii="宋体" w:hAnsi="宋体" w:eastAsia="宋体" w:cs="宋体"/>
                <w:kern w:val="2"/>
                <w:sz w:val="24"/>
                <w:szCs w:val="24"/>
              </w:rPr>
              <w:t xml:space="preserve">组组长签字：               </w:t>
            </w:r>
            <w:r>
              <w:rPr>
                <w:rFonts w:hint="eastAsia" w:ascii="宋体" w:hAnsi="宋体" w:eastAsia="宋体" w:cs="宋体"/>
                <w:kern w:val="2"/>
                <w:sz w:val="24"/>
                <w:szCs w:val="24"/>
                <w:lang w:eastAsia="zh-CN"/>
              </w:rPr>
              <w:t>验收</w:t>
            </w:r>
            <w:r>
              <w:rPr>
                <w:rFonts w:hint="eastAsia" w:ascii="宋体" w:hAnsi="宋体" w:eastAsia="宋体" w:cs="宋体"/>
                <w:kern w:val="2"/>
                <w:sz w:val="24"/>
                <w:szCs w:val="24"/>
              </w:rPr>
              <w:t xml:space="preserve">组成员签字：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4580" w:type="dxa"/>
            <w:gridSpan w:val="5"/>
            <w:tcBorders>
              <w:top w:val="nil"/>
              <w:left w:val="nil"/>
              <w:bottom w:val="nil"/>
              <w:right w:val="nil"/>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lang w:eastAsia="zh-CN"/>
              </w:rPr>
              <w:t>验收</w:t>
            </w:r>
            <w:r>
              <w:rPr>
                <w:rFonts w:hint="eastAsia" w:ascii="宋体" w:hAnsi="宋体" w:eastAsia="宋体" w:cs="宋体"/>
                <w:kern w:val="2"/>
                <w:sz w:val="24"/>
                <w:szCs w:val="24"/>
              </w:rPr>
              <w:t>填表说明：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580" w:type="dxa"/>
            <w:gridSpan w:val="5"/>
            <w:tcBorders>
              <w:top w:val="nil"/>
              <w:left w:val="nil"/>
              <w:bottom w:val="nil"/>
              <w:right w:val="nil"/>
            </w:tcBorders>
            <w:vAlign w:val="center"/>
          </w:tcPr>
          <w:p>
            <w:pPr>
              <w:widowControl/>
              <w:spacing w:before="0" w:beforeAutospacing="0" w:after="0" w:afterAutospacing="0" w:line="240" w:lineRule="auto"/>
              <w:ind w:left="0" w:right="0" w:firstLine="0" w:firstLineChars="0"/>
              <w:jc w:val="left"/>
              <w:rPr>
                <w:rFonts w:ascii="宋体" w:hAnsi="宋体" w:eastAsia="宋体" w:cs="宋体"/>
                <w:kern w:val="2"/>
                <w:sz w:val="24"/>
                <w:szCs w:val="24"/>
              </w:rPr>
            </w:pPr>
            <w:r>
              <w:rPr>
                <w:rFonts w:hint="eastAsia" w:ascii="宋体" w:hAnsi="宋体" w:eastAsia="宋体" w:cs="宋体"/>
                <w:kern w:val="2"/>
                <w:sz w:val="24"/>
                <w:szCs w:val="24"/>
              </w:rPr>
              <w:t>相关材料及数据的截止时点为2019年4月30日。</w:t>
            </w:r>
          </w:p>
        </w:tc>
      </w:tr>
    </w:tbl>
    <w:p/>
    <w:p>
      <w:pPr>
        <w:spacing w:line="240" w:lineRule="auto"/>
        <w:ind w:firstLine="0" w:firstLineChars="0"/>
        <w:jc w:val="left"/>
      </w:pPr>
      <w:bookmarkStart w:id="0" w:name="_GoBack"/>
      <w:bookmarkEnd w:id="0"/>
    </w:p>
    <w:sectPr>
      <w:headerReference r:id="rId3" w:type="default"/>
      <w:footerReference r:id="rId4" w:type="default"/>
      <w:pgSz w:w="16838" w:h="11900" w:orient="landscape"/>
      <w:pgMar w:top="1440" w:right="1440" w:bottom="1440" w:left="1440" w:header="0" w:footer="0" w:gutt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rFonts w:ascii="仿宋" w:hAnsi="仿宋" w:eastAsia="仿宋" w:cs="方正仿宋简体"/>
        <w:sz w:val="18"/>
        <w:szCs w:val="18"/>
        <w:lang w:val="en-US" w:eastAsia="zh-CN" w:bidi="ar-SA"/>
      </w:rPr>
      <w:pict>
        <v:rect id="Rectangle 1" o:spid="_x0000_s4097" o:spt="1" style="position:absolute;left:0pt;margin-top:-43.85pt;height:31pt;width:40.05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9E0E6"/>
    <w:multiLevelType w:val="singleLevel"/>
    <w:tmpl w:val="5C89E0E6"/>
    <w:lvl w:ilvl="0" w:tentative="0">
      <w:start w:val="2"/>
      <w:numFmt w:val="decimal"/>
      <w:suff w:val="space"/>
      <w:lvlText w:val="%1."/>
      <w:lvlJc w:val="left"/>
    </w:lvl>
  </w:abstractNum>
  <w:abstractNum w:abstractNumId="1">
    <w:nsid w:val="5C89E0FB"/>
    <w:multiLevelType w:val="singleLevel"/>
    <w:tmpl w:val="5C89E0FB"/>
    <w:lvl w:ilvl="0" w:tentative="0">
      <w:start w:val="3"/>
      <w:numFmt w:val="decimal"/>
      <w:suff w:val="space"/>
      <w:lvlText w:val="%1."/>
      <w:lvlJc w:val="left"/>
    </w:lvl>
  </w:abstractNum>
  <w:abstractNum w:abstractNumId="2">
    <w:nsid w:val="5C89E109"/>
    <w:multiLevelType w:val="singleLevel"/>
    <w:tmpl w:val="5C89E109"/>
    <w:lvl w:ilvl="0" w:tentative="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720"/>
  <w:displayHorizontalDrawingGridEvery w:val="0"/>
  <w:displayVerticalDrawingGridEvery w:val="2"/>
  <w:characterSpacingControl w:val="doNotCompress"/>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A2802"/>
    <w:rsid w:val="00142F16"/>
    <w:rsid w:val="001A2802"/>
    <w:rsid w:val="00292C23"/>
    <w:rsid w:val="003162D5"/>
    <w:rsid w:val="00382E15"/>
    <w:rsid w:val="004D4D1A"/>
    <w:rsid w:val="005F2532"/>
    <w:rsid w:val="00630B41"/>
    <w:rsid w:val="00640E1D"/>
    <w:rsid w:val="00641973"/>
    <w:rsid w:val="00644995"/>
    <w:rsid w:val="00776A87"/>
    <w:rsid w:val="008C3F04"/>
    <w:rsid w:val="008D1C48"/>
    <w:rsid w:val="009D4E3D"/>
    <w:rsid w:val="009F2020"/>
    <w:rsid w:val="00A403CB"/>
    <w:rsid w:val="00A90B33"/>
    <w:rsid w:val="00AA6F34"/>
    <w:rsid w:val="00AE1A71"/>
    <w:rsid w:val="00B140D6"/>
    <w:rsid w:val="00B23910"/>
    <w:rsid w:val="00B64FAC"/>
    <w:rsid w:val="00BE2F73"/>
    <w:rsid w:val="00CE496E"/>
    <w:rsid w:val="00D520B8"/>
    <w:rsid w:val="00D96EE7"/>
    <w:rsid w:val="00ED2A92"/>
    <w:rsid w:val="00F94B22"/>
    <w:rsid w:val="00FC282B"/>
    <w:rsid w:val="010A5041"/>
    <w:rsid w:val="02C975A1"/>
    <w:rsid w:val="072645C7"/>
    <w:rsid w:val="073F1E74"/>
    <w:rsid w:val="09C63C16"/>
    <w:rsid w:val="0C717078"/>
    <w:rsid w:val="0C9D11C1"/>
    <w:rsid w:val="1091203B"/>
    <w:rsid w:val="12B25538"/>
    <w:rsid w:val="156670AB"/>
    <w:rsid w:val="16C46FE7"/>
    <w:rsid w:val="17C706A5"/>
    <w:rsid w:val="18314FC0"/>
    <w:rsid w:val="184D3914"/>
    <w:rsid w:val="187D2F13"/>
    <w:rsid w:val="1E65759B"/>
    <w:rsid w:val="1F5E7C06"/>
    <w:rsid w:val="1FD31DC3"/>
    <w:rsid w:val="211514D5"/>
    <w:rsid w:val="22D47AE4"/>
    <w:rsid w:val="23BE1434"/>
    <w:rsid w:val="25F6487D"/>
    <w:rsid w:val="28046835"/>
    <w:rsid w:val="29814255"/>
    <w:rsid w:val="2B3B187A"/>
    <w:rsid w:val="2B7A4F09"/>
    <w:rsid w:val="2E8325DC"/>
    <w:rsid w:val="32BC7867"/>
    <w:rsid w:val="336F7271"/>
    <w:rsid w:val="351E7A4C"/>
    <w:rsid w:val="35384F34"/>
    <w:rsid w:val="35813DD2"/>
    <w:rsid w:val="365B64A5"/>
    <w:rsid w:val="3728158B"/>
    <w:rsid w:val="38165991"/>
    <w:rsid w:val="39CD2AE4"/>
    <w:rsid w:val="3A4849AC"/>
    <w:rsid w:val="3A756774"/>
    <w:rsid w:val="3BF217C3"/>
    <w:rsid w:val="3E386955"/>
    <w:rsid w:val="3E772188"/>
    <w:rsid w:val="3F435BF3"/>
    <w:rsid w:val="3F6E4124"/>
    <w:rsid w:val="424D72D5"/>
    <w:rsid w:val="43D22C7A"/>
    <w:rsid w:val="47C4713D"/>
    <w:rsid w:val="49E97FD0"/>
    <w:rsid w:val="4C7C588C"/>
    <w:rsid w:val="4D1F5594"/>
    <w:rsid w:val="53A40861"/>
    <w:rsid w:val="54FA1CD9"/>
    <w:rsid w:val="59D52A96"/>
    <w:rsid w:val="62CA6F20"/>
    <w:rsid w:val="63526631"/>
    <w:rsid w:val="64250EC0"/>
    <w:rsid w:val="64983C98"/>
    <w:rsid w:val="65357399"/>
    <w:rsid w:val="663F0B50"/>
    <w:rsid w:val="665242EE"/>
    <w:rsid w:val="68AF3DCD"/>
    <w:rsid w:val="6A7E5D74"/>
    <w:rsid w:val="6C9C30BE"/>
    <w:rsid w:val="719360E4"/>
    <w:rsid w:val="758A3766"/>
    <w:rsid w:val="76131B2B"/>
    <w:rsid w:val="762A581A"/>
    <w:rsid w:val="77A51F89"/>
    <w:rsid w:val="7B3978B4"/>
    <w:rsid w:val="7E18726D"/>
    <w:rsid w:val="7EC37706"/>
    <w:rsid w:val="7F3F4A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ind w:firstLine="640" w:firstLineChars="200"/>
      <w:jc w:val="both"/>
    </w:pPr>
    <w:rPr>
      <w:rFonts w:ascii="仿宋" w:hAnsi="仿宋" w:eastAsia="仿宋" w:cs="方正仿宋简体"/>
      <w:sz w:val="32"/>
      <w:szCs w:val="32"/>
      <w:lang w:val="en-US" w:eastAsia="zh-CN" w:bidi="ar-SA"/>
    </w:rPr>
  </w:style>
  <w:style w:type="paragraph" w:styleId="2">
    <w:name w:val="heading 1"/>
    <w:basedOn w:val="1"/>
    <w:next w:val="1"/>
    <w:link w:val="18"/>
    <w:qFormat/>
    <w:uiPriority w:val="9"/>
    <w:pPr>
      <w:outlineLvl w:val="0"/>
    </w:pPr>
    <w:rPr>
      <w:rFonts w:ascii="黑体" w:hAnsi="黑体" w:eastAsia="黑体" w:cs="黑体"/>
    </w:rPr>
  </w:style>
  <w:style w:type="paragraph" w:styleId="3">
    <w:name w:val="heading 2"/>
    <w:basedOn w:val="1"/>
    <w:next w:val="1"/>
    <w:link w:val="19"/>
    <w:unhideWhenUsed/>
    <w:qFormat/>
    <w:uiPriority w:val="9"/>
    <w:pPr>
      <w:outlineLvl w:val="1"/>
    </w:pPr>
    <w:rPr>
      <w:rFonts w:ascii="楷体_GB2312" w:hAnsi="楷体_GB2312" w:eastAsia="楷体_GB2312" w:cs="楷体_GB2312"/>
    </w:rPr>
  </w:style>
  <w:style w:type="character" w:default="1" w:styleId="9">
    <w:name w:val="Default Paragraph Font"/>
    <w:unhideWhenUsed/>
    <w:qFormat/>
    <w:uiPriority w:val="1"/>
  </w:style>
  <w:style w:type="table" w:default="1" w:styleId="11">
    <w:name w:val="Normal Table"/>
    <w:unhideWhenUsed/>
    <w:qFormat/>
    <w:uiPriority w:val="99"/>
    <w:pPr>
      <w:widowControl/>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4">
    <w:name w:val="annotation subject"/>
    <w:basedOn w:val="5"/>
    <w:next w:val="5"/>
    <w:link w:val="22"/>
    <w:unhideWhenUsed/>
    <w:qFormat/>
    <w:uiPriority w:val="0"/>
    <w:rPr>
      <w:b/>
      <w:bCs/>
    </w:rPr>
  </w:style>
  <w:style w:type="paragraph" w:styleId="5">
    <w:name w:val="annotation text"/>
    <w:basedOn w:val="1"/>
    <w:link w:val="21"/>
    <w:unhideWhenUsed/>
    <w:qFormat/>
    <w:uiPriority w:val="0"/>
    <w:pPr>
      <w:jc w:val="left"/>
    </w:pPr>
  </w:style>
  <w:style w:type="paragraph" w:styleId="6">
    <w:name w:val="Balloon Text"/>
    <w:basedOn w:val="1"/>
    <w:link w:val="20"/>
    <w:unhideWhenUsed/>
    <w:qFormat/>
    <w:uiPriority w:val="0"/>
    <w:pPr>
      <w:spacing w:line="240" w:lineRule="auto"/>
    </w:pPr>
    <w:rPr>
      <w:sz w:val="18"/>
      <w:szCs w:val="1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uiPriority w:val="0"/>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列出段落1"/>
    <w:basedOn w:val="1"/>
    <w:qFormat/>
    <w:uiPriority w:val="34"/>
    <w:pPr>
      <w:ind w:firstLine="420"/>
    </w:pPr>
  </w:style>
  <w:style w:type="paragraph" w:customStyle="1" w:styleId="14">
    <w:name w:val="无间隔1"/>
    <w:qFormat/>
    <w:uiPriority w:val="1"/>
    <w:rPr>
      <w:rFonts w:ascii="Times New Roman" w:hAnsi="Times New Roman" w:eastAsia="宋体" w:cs="Times New Roman"/>
      <w:sz w:val="22"/>
      <w:szCs w:val="22"/>
      <w:lang w:val="en-US" w:eastAsia="zh-CN" w:bidi="ar-SA"/>
    </w:rPr>
  </w:style>
  <w:style w:type="paragraph" w:customStyle="1" w:styleId="15">
    <w:name w:val="列出段落11"/>
    <w:basedOn w:val="1"/>
    <w:qFormat/>
    <w:uiPriority w:val="0"/>
    <w:pPr>
      <w:ind w:firstLine="420"/>
    </w:pPr>
  </w:style>
  <w:style w:type="character" w:customStyle="1" w:styleId="16">
    <w:name w:val="页眉 Char"/>
    <w:basedOn w:val="9"/>
    <w:link w:val="8"/>
    <w:qFormat/>
    <w:uiPriority w:val="99"/>
    <w:rPr>
      <w:sz w:val="18"/>
      <w:szCs w:val="18"/>
    </w:rPr>
  </w:style>
  <w:style w:type="character" w:customStyle="1" w:styleId="17">
    <w:name w:val="页脚 Char"/>
    <w:basedOn w:val="9"/>
    <w:link w:val="7"/>
    <w:qFormat/>
    <w:uiPriority w:val="99"/>
    <w:rPr>
      <w:sz w:val="18"/>
      <w:szCs w:val="18"/>
    </w:rPr>
  </w:style>
  <w:style w:type="character" w:customStyle="1" w:styleId="18">
    <w:name w:val="标题 1 Char"/>
    <w:basedOn w:val="9"/>
    <w:link w:val="2"/>
    <w:qFormat/>
    <w:uiPriority w:val="9"/>
    <w:rPr>
      <w:rFonts w:ascii="黑体" w:hAnsi="黑体" w:eastAsia="黑体" w:cs="黑体"/>
      <w:sz w:val="32"/>
      <w:szCs w:val="32"/>
    </w:rPr>
  </w:style>
  <w:style w:type="character" w:customStyle="1" w:styleId="19">
    <w:name w:val="标题 2 Char"/>
    <w:basedOn w:val="9"/>
    <w:link w:val="3"/>
    <w:qFormat/>
    <w:uiPriority w:val="9"/>
    <w:rPr>
      <w:rFonts w:ascii="楷体_GB2312" w:hAnsi="楷体_GB2312" w:eastAsia="楷体_GB2312" w:cs="楷体_GB2312"/>
      <w:sz w:val="32"/>
      <w:szCs w:val="32"/>
    </w:rPr>
  </w:style>
  <w:style w:type="character" w:customStyle="1" w:styleId="20">
    <w:name w:val="批注框文本 Char"/>
    <w:basedOn w:val="9"/>
    <w:link w:val="6"/>
    <w:semiHidden/>
    <w:qFormat/>
    <w:uiPriority w:val="0"/>
    <w:rPr>
      <w:rFonts w:ascii="仿宋" w:hAnsi="仿宋" w:eastAsia="仿宋" w:cs="方正仿宋简体"/>
      <w:sz w:val="18"/>
      <w:szCs w:val="18"/>
    </w:rPr>
  </w:style>
  <w:style w:type="character" w:customStyle="1" w:styleId="21">
    <w:name w:val="批注文字 Char"/>
    <w:basedOn w:val="9"/>
    <w:link w:val="5"/>
    <w:semiHidden/>
    <w:qFormat/>
    <w:uiPriority w:val="0"/>
    <w:rPr>
      <w:rFonts w:ascii="仿宋" w:hAnsi="仿宋" w:eastAsia="仿宋" w:cs="方正仿宋简体"/>
      <w:sz w:val="32"/>
      <w:szCs w:val="32"/>
    </w:rPr>
  </w:style>
  <w:style w:type="character" w:customStyle="1" w:styleId="22">
    <w:name w:val="批注主题 Char"/>
    <w:basedOn w:val="21"/>
    <w:link w:val="4"/>
    <w:semiHidden/>
    <w:qFormat/>
    <w:uiPriority w:val="0"/>
    <w:rPr>
      <w:rFonts w:ascii="仿宋" w:hAnsi="仿宋" w:eastAsia="仿宋" w:cs="方正仿宋简体"/>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1238</Words>
  <Characters>7061</Characters>
  <Lines>58</Lines>
  <Paragraphs>16</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2019-03-13T06:56:00Z</dcterms:created>
  <dc:creator>Windows User</dc:creator>
  <cp:lastModifiedBy>肥珍</cp:lastModifiedBy>
  <cp:lastPrinted>2019-03-22T09:57:00Z</cp:lastPrinted>
  <dcterms:modified xsi:type="dcterms:W3CDTF">2019-04-11T02:48:50Z</dcterms:modified>
  <dc:title>民政部办公厅 财政部办公厅关于报送居家和社区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